
<file path=[Content_Types].xml><?xml version="1.0" encoding="utf-8"?>
<Types xmlns="http://schemas.openxmlformats.org/package/2006/content-types">
  <Default Extension="bin" ContentType="application/vnd.ms-word.attachedToolbar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customizations.xml" ContentType="application/vnd.ms-word.keyMapCustomization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73F7B" w:rsidRPr="00A42DA7" w:rsidRDefault="00B73F7B">
      <w:pPr>
        <w:spacing w:line="240" w:lineRule="atLeast"/>
        <w:jc w:val="center"/>
        <w:rPr>
          <w:b/>
          <w:sz w:val="40"/>
          <w:szCs w:val="28"/>
        </w:rPr>
      </w:pPr>
      <w:r w:rsidRPr="00A42DA7">
        <w:rPr>
          <w:rFonts w:hint="eastAsia"/>
          <w:b/>
          <w:sz w:val="40"/>
          <w:szCs w:val="28"/>
        </w:rPr>
        <w:t>《</w:t>
      </w:r>
      <w:r w:rsidR="00E9372C" w:rsidRPr="00E9372C">
        <w:rPr>
          <w:rFonts w:ascii="宋体" w:hAnsi="宋体" w:hint="eastAsia"/>
          <w:b/>
          <w:sz w:val="40"/>
          <w:szCs w:val="28"/>
        </w:rPr>
        <w:t>牙科学 挖匙和骨刮匙</w:t>
      </w:r>
      <w:r w:rsidRPr="00A42DA7">
        <w:rPr>
          <w:rFonts w:hint="eastAsia"/>
          <w:b/>
          <w:sz w:val="40"/>
          <w:szCs w:val="28"/>
        </w:rPr>
        <w:t>》行业标准编制说明</w:t>
      </w:r>
    </w:p>
    <w:p w:rsidR="00B73F7B" w:rsidRPr="009628D3" w:rsidRDefault="00B73F7B">
      <w:pPr>
        <w:spacing w:line="240" w:lineRule="atLeast"/>
        <w:jc w:val="center"/>
        <w:rPr>
          <w:b/>
          <w:sz w:val="28"/>
          <w:szCs w:val="28"/>
        </w:rPr>
      </w:pPr>
    </w:p>
    <w:p w:rsidR="00B73F7B" w:rsidRPr="009628D3" w:rsidRDefault="00B73F7B">
      <w:pPr>
        <w:numPr>
          <w:ilvl w:val="0"/>
          <w:numId w:val="3"/>
        </w:numPr>
        <w:spacing w:line="360" w:lineRule="auto"/>
        <w:rPr>
          <w:b/>
          <w:bCs/>
          <w:sz w:val="28"/>
          <w:szCs w:val="28"/>
        </w:rPr>
      </w:pPr>
      <w:r w:rsidRPr="009628D3">
        <w:rPr>
          <w:rFonts w:hint="eastAsia"/>
          <w:b/>
          <w:bCs/>
          <w:sz w:val="28"/>
          <w:szCs w:val="28"/>
        </w:rPr>
        <w:t>工作简况</w:t>
      </w:r>
    </w:p>
    <w:p w:rsidR="00B73F7B" w:rsidRPr="009628D3" w:rsidRDefault="0062659C" w:rsidP="0062659C">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根据</w:t>
      </w:r>
      <w:r w:rsidR="00136026">
        <w:rPr>
          <w:rFonts w:ascii="华文仿宋" w:eastAsia="华文仿宋" w:hAnsi="华文仿宋" w:hint="eastAsia"/>
          <w:sz w:val="28"/>
          <w:szCs w:val="28"/>
        </w:rPr>
        <w:t>202</w:t>
      </w:r>
      <w:r w:rsidR="00937513">
        <w:rPr>
          <w:rFonts w:ascii="华文仿宋" w:eastAsia="华文仿宋" w:hAnsi="华文仿宋" w:hint="eastAsia"/>
          <w:sz w:val="28"/>
          <w:szCs w:val="28"/>
        </w:rPr>
        <w:t>1年度</w:t>
      </w:r>
      <w:r w:rsidR="00136026">
        <w:rPr>
          <w:rFonts w:ascii="华文仿宋" w:eastAsia="华文仿宋" w:hAnsi="华文仿宋" w:hint="eastAsia"/>
          <w:sz w:val="28"/>
          <w:szCs w:val="28"/>
        </w:rPr>
        <w:t>医疗器械行业标准制修订计划，</w:t>
      </w:r>
      <w:r w:rsidRPr="009628D3">
        <w:rPr>
          <w:rFonts w:ascii="华文仿宋" w:eastAsia="华文仿宋" w:hAnsi="华文仿宋" w:hint="eastAsia"/>
          <w:sz w:val="28"/>
          <w:szCs w:val="28"/>
        </w:rPr>
        <w:t>由全国口腔材料和器械设备标准化技术委员会齿科设备</w:t>
      </w:r>
      <w:r w:rsidR="0067134D" w:rsidRPr="009628D3">
        <w:rPr>
          <w:rFonts w:ascii="华文仿宋" w:eastAsia="华文仿宋" w:hAnsi="华文仿宋" w:hint="eastAsia"/>
          <w:sz w:val="28"/>
          <w:szCs w:val="28"/>
        </w:rPr>
        <w:t>与</w:t>
      </w:r>
      <w:r w:rsidRPr="009628D3">
        <w:rPr>
          <w:rFonts w:ascii="华文仿宋" w:eastAsia="华文仿宋" w:hAnsi="华文仿宋" w:hint="eastAsia"/>
          <w:sz w:val="28"/>
          <w:szCs w:val="28"/>
        </w:rPr>
        <w:t>器械分技术委员会归口，广东省医疗器械质量监督检验所</w:t>
      </w:r>
      <w:r w:rsidR="00E57113" w:rsidRPr="009628D3">
        <w:rPr>
          <w:rFonts w:ascii="华文仿宋" w:eastAsia="华文仿宋" w:hAnsi="华文仿宋" w:hint="eastAsia"/>
          <w:sz w:val="28"/>
          <w:szCs w:val="28"/>
        </w:rPr>
        <w:t>、</w:t>
      </w:r>
      <w:r w:rsidR="00E9372C" w:rsidRPr="00E9372C">
        <w:rPr>
          <w:rFonts w:ascii="华文仿宋" w:eastAsia="华文仿宋" w:hAnsi="华文仿宋" w:hint="eastAsia"/>
          <w:sz w:val="28"/>
          <w:szCs w:val="28"/>
        </w:rPr>
        <w:t>宁波蓝野医疗器械有限公司、新华手术器械有限公司、浙江新亚医疗科技股份有限公司</w:t>
      </w:r>
      <w:r w:rsidRPr="009628D3">
        <w:rPr>
          <w:rFonts w:ascii="华文仿宋" w:eastAsia="华文仿宋" w:hAnsi="华文仿宋" w:hint="eastAsia"/>
          <w:sz w:val="28"/>
          <w:szCs w:val="28"/>
        </w:rPr>
        <w:t>负责修订《</w:t>
      </w:r>
      <w:r w:rsidR="00E9372C" w:rsidRPr="00E9372C">
        <w:rPr>
          <w:rFonts w:ascii="华文仿宋" w:eastAsia="华文仿宋" w:hAnsi="华文仿宋" w:hint="eastAsia"/>
          <w:sz w:val="28"/>
          <w:szCs w:val="28"/>
        </w:rPr>
        <w:t>牙科学 挖匙和骨刮匙</w:t>
      </w:r>
      <w:r w:rsidRPr="009628D3">
        <w:rPr>
          <w:rFonts w:ascii="华文仿宋" w:eastAsia="华文仿宋" w:hAnsi="华文仿宋" w:hint="eastAsia"/>
          <w:sz w:val="28"/>
          <w:szCs w:val="28"/>
        </w:rPr>
        <w:t>》推荐性医药行业标准。</w:t>
      </w:r>
    </w:p>
    <w:p w:rsidR="00E9372C" w:rsidRPr="00E9372C" w:rsidRDefault="00E9372C" w:rsidP="00E9372C">
      <w:pPr>
        <w:spacing w:line="360" w:lineRule="auto"/>
        <w:ind w:firstLineChars="200" w:firstLine="560"/>
        <w:rPr>
          <w:rFonts w:ascii="华文仿宋" w:eastAsia="华文仿宋" w:hAnsi="华文仿宋"/>
          <w:sz w:val="28"/>
          <w:szCs w:val="28"/>
        </w:rPr>
      </w:pPr>
      <w:r w:rsidRPr="00E9372C">
        <w:rPr>
          <w:rFonts w:ascii="华文仿宋" w:eastAsia="华文仿宋" w:hAnsi="华文仿宋" w:hint="eastAsia"/>
          <w:sz w:val="28"/>
          <w:szCs w:val="28"/>
        </w:rPr>
        <w:t>20</w:t>
      </w:r>
      <w:r>
        <w:rPr>
          <w:rFonts w:ascii="华文仿宋" w:eastAsia="华文仿宋" w:hAnsi="华文仿宋"/>
          <w:sz w:val="28"/>
          <w:szCs w:val="28"/>
        </w:rPr>
        <w:t>20</w:t>
      </w:r>
      <w:r w:rsidRPr="00E9372C">
        <w:rPr>
          <w:rFonts w:ascii="华文仿宋" w:eastAsia="华文仿宋" w:hAnsi="华文仿宋" w:hint="eastAsia"/>
          <w:sz w:val="28"/>
          <w:szCs w:val="28"/>
        </w:rPr>
        <w:t>年至202</w:t>
      </w:r>
      <w:r>
        <w:rPr>
          <w:rFonts w:ascii="华文仿宋" w:eastAsia="华文仿宋" w:hAnsi="华文仿宋"/>
          <w:sz w:val="28"/>
          <w:szCs w:val="28"/>
        </w:rPr>
        <w:t>1</w:t>
      </w:r>
      <w:r w:rsidRPr="00E9372C">
        <w:rPr>
          <w:rFonts w:ascii="华文仿宋" w:eastAsia="华文仿宋" w:hAnsi="华文仿宋" w:hint="eastAsia"/>
          <w:sz w:val="28"/>
          <w:szCs w:val="28"/>
        </w:rPr>
        <w:t>年</w:t>
      </w:r>
      <w:r>
        <w:rPr>
          <w:rFonts w:ascii="华文仿宋" w:eastAsia="华文仿宋" w:hAnsi="华文仿宋"/>
          <w:sz w:val="28"/>
          <w:szCs w:val="28"/>
        </w:rPr>
        <w:t>3</w:t>
      </w:r>
      <w:r w:rsidRPr="00E9372C">
        <w:rPr>
          <w:rFonts w:ascii="华文仿宋" w:eastAsia="华文仿宋" w:hAnsi="华文仿宋" w:hint="eastAsia"/>
          <w:sz w:val="28"/>
          <w:szCs w:val="28"/>
        </w:rPr>
        <w:t>月，为做好标准的起草工作，保证标准起草的质量和起草进度，在</w:t>
      </w:r>
      <w:r>
        <w:rPr>
          <w:rFonts w:ascii="华文仿宋" w:eastAsia="华文仿宋" w:hAnsi="华文仿宋" w:hint="eastAsia"/>
          <w:sz w:val="28"/>
          <w:szCs w:val="28"/>
        </w:rPr>
        <w:t>接到</w:t>
      </w:r>
      <w:r>
        <w:rPr>
          <w:rFonts w:ascii="华文仿宋" w:eastAsia="华文仿宋" w:hAnsi="华文仿宋"/>
          <w:sz w:val="28"/>
          <w:szCs w:val="28"/>
        </w:rPr>
        <w:t>标准起草任务之后</w:t>
      </w:r>
      <w:r w:rsidRPr="00E9372C">
        <w:rPr>
          <w:rFonts w:ascii="华文仿宋" w:eastAsia="华文仿宋" w:hAnsi="华文仿宋" w:hint="eastAsia"/>
          <w:sz w:val="28"/>
          <w:szCs w:val="28"/>
        </w:rPr>
        <w:t>，起草小组组织有关人员</w:t>
      </w:r>
      <w:r>
        <w:rPr>
          <w:rFonts w:ascii="华文仿宋" w:eastAsia="华文仿宋" w:hAnsi="华文仿宋" w:hint="eastAsia"/>
          <w:sz w:val="28"/>
          <w:szCs w:val="28"/>
        </w:rPr>
        <w:t>开展完成</w:t>
      </w:r>
      <w:r>
        <w:rPr>
          <w:rFonts w:ascii="华文仿宋" w:eastAsia="华文仿宋" w:hAnsi="华文仿宋"/>
          <w:sz w:val="28"/>
          <w:szCs w:val="28"/>
        </w:rPr>
        <w:t>了</w:t>
      </w:r>
      <w:r>
        <w:rPr>
          <w:rFonts w:ascii="华文仿宋" w:eastAsia="华文仿宋" w:hAnsi="华文仿宋" w:hint="eastAsia"/>
          <w:sz w:val="28"/>
          <w:szCs w:val="28"/>
        </w:rPr>
        <w:t>对应</w:t>
      </w:r>
      <w:r>
        <w:rPr>
          <w:rFonts w:ascii="华文仿宋" w:eastAsia="华文仿宋" w:hAnsi="华文仿宋"/>
          <w:sz w:val="28"/>
          <w:szCs w:val="28"/>
        </w:rPr>
        <w:t>国际标准</w:t>
      </w:r>
      <w:r w:rsidRPr="00E9372C">
        <w:rPr>
          <w:rFonts w:ascii="华文仿宋" w:eastAsia="华文仿宋" w:hAnsi="华文仿宋" w:hint="eastAsia"/>
          <w:sz w:val="28"/>
          <w:szCs w:val="28"/>
        </w:rPr>
        <w:t>ISO 22570：2020《</w:t>
      </w:r>
      <w:r w:rsidRPr="00E9372C">
        <w:rPr>
          <w:rFonts w:ascii="华文仿宋" w:eastAsia="华文仿宋" w:hAnsi="华文仿宋"/>
          <w:sz w:val="28"/>
          <w:szCs w:val="28"/>
        </w:rPr>
        <w:t>Dentistry-Spoons and bone curettes</w:t>
      </w:r>
      <w:r w:rsidRPr="00E9372C">
        <w:rPr>
          <w:rFonts w:ascii="华文仿宋" w:eastAsia="华文仿宋" w:hAnsi="华文仿宋" w:hint="eastAsia"/>
          <w:sz w:val="28"/>
          <w:szCs w:val="28"/>
        </w:rPr>
        <w:t>》的翻译和校准工作，</w:t>
      </w:r>
      <w:r>
        <w:rPr>
          <w:rFonts w:ascii="华文仿宋" w:eastAsia="华文仿宋" w:hAnsi="华文仿宋" w:hint="eastAsia"/>
          <w:sz w:val="28"/>
          <w:szCs w:val="28"/>
        </w:rPr>
        <w:t>并对其中</w:t>
      </w:r>
      <w:r>
        <w:rPr>
          <w:rFonts w:ascii="华文仿宋" w:eastAsia="华文仿宋" w:hAnsi="华文仿宋"/>
          <w:sz w:val="28"/>
          <w:szCs w:val="28"/>
        </w:rPr>
        <w:t>技术内容进行了初步查对和确认，在起草小组范围内</w:t>
      </w:r>
      <w:r w:rsidRPr="00E9372C">
        <w:rPr>
          <w:rFonts w:ascii="华文仿宋" w:eastAsia="华文仿宋" w:hAnsi="华文仿宋" w:hint="eastAsia"/>
          <w:sz w:val="28"/>
          <w:szCs w:val="28"/>
        </w:rPr>
        <w:t>就翻译稿进行了交流和讨论，在此基础上形成了标准的小组讨论稿。</w:t>
      </w:r>
    </w:p>
    <w:p w:rsidR="00080FE4" w:rsidRDefault="00E9372C" w:rsidP="00E9372C">
      <w:pPr>
        <w:spacing w:line="360" w:lineRule="auto"/>
        <w:ind w:firstLineChars="200" w:firstLine="560"/>
        <w:rPr>
          <w:rFonts w:ascii="华文仿宋" w:eastAsia="华文仿宋" w:hAnsi="华文仿宋"/>
          <w:sz w:val="28"/>
          <w:szCs w:val="28"/>
        </w:rPr>
      </w:pPr>
      <w:r w:rsidRPr="00E9372C">
        <w:rPr>
          <w:rFonts w:ascii="华文仿宋" w:eastAsia="华文仿宋" w:hAnsi="华文仿宋" w:hint="eastAsia"/>
          <w:sz w:val="28"/>
          <w:szCs w:val="28"/>
        </w:rPr>
        <w:t>202</w:t>
      </w:r>
      <w:r w:rsidR="00080FE4">
        <w:rPr>
          <w:rFonts w:ascii="华文仿宋" w:eastAsia="华文仿宋" w:hAnsi="华文仿宋"/>
          <w:sz w:val="28"/>
          <w:szCs w:val="28"/>
        </w:rPr>
        <w:t>1</w:t>
      </w:r>
      <w:r w:rsidRPr="00E9372C">
        <w:rPr>
          <w:rFonts w:ascii="华文仿宋" w:eastAsia="华文仿宋" w:hAnsi="华文仿宋" w:hint="eastAsia"/>
          <w:sz w:val="28"/>
          <w:szCs w:val="28"/>
        </w:rPr>
        <w:t xml:space="preserve"> 年</w:t>
      </w:r>
      <w:r w:rsidR="00080FE4">
        <w:rPr>
          <w:rFonts w:ascii="华文仿宋" w:eastAsia="华文仿宋" w:hAnsi="华文仿宋"/>
          <w:sz w:val="28"/>
          <w:szCs w:val="28"/>
        </w:rPr>
        <w:t>4</w:t>
      </w:r>
      <w:r w:rsidRPr="00E9372C">
        <w:rPr>
          <w:rFonts w:ascii="华文仿宋" w:eastAsia="华文仿宋" w:hAnsi="华文仿宋" w:hint="eastAsia"/>
          <w:sz w:val="28"/>
          <w:szCs w:val="28"/>
        </w:rPr>
        <w:t xml:space="preserve"> 月 </w:t>
      </w:r>
      <w:r w:rsidR="00080FE4">
        <w:rPr>
          <w:rFonts w:ascii="华文仿宋" w:eastAsia="华文仿宋" w:hAnsi="华文仿宋"/>
          <w:sz w:val="28"/>
          <w:szCs w:val="28"/>
        </w:rPr>
        <w:t>9</w:t>
      </w:r>
      <w:r w:rsidRPr="00E9372C">
        <w:rPr>
          <w:rFonts w:ascii="华文仿宋" w:eastAsia="华文仿宋" w:hAnsi="华文仿宋" w:hint="eastAsia"/>
          <w:sz w:val="28"/>
          <w:szCs w:val="28"/>
        </w:rPr>
        <w:t>日，全国口腔材料和器械设备标准化技术委员会齿科设备与器械分技术委员会（SAC/TC99 SC1）</w:t>
      </w:r>
      <w:r w:rsidR="00080FE4">
        <w:rPr>
          <w:rFonts w:ascii="华文仿宋" w:eastAsia="华文仿宋" w:hAnsi="华文仿宋" w:hint="eastAsia"/>
          <w:sz w:val="28"/>
          <w:szCs w:val="28"/>
        </w:rPr>
        <w:t>组织</w:t>
      </w:r>
      <w:r w:rsidR="00080FE4">
        <w:rPr>
          <w:rFonts w:ascii="华文仿宋" w:eastAsia="华文仿宋" w:hAnsi="华文仿宋"/>
          <w:sz w:val="28"/>
          <w:szCs w:val="28"/>
        </w:rPr>
        <w:t>召开了</w:t>
      </w:r>
      <w:r w:rsidR="00080FE4">
        <w:rPr>
          <w:rFonts w:ascii="华文仿宋" w:eastAsia="华文仿宋" w:hAnsi="华文仿宋" w:hint="eastAsia"/>
          <w:sz w:val="28"/>
          <w:szCs w:val="28"/>
        </w:rPr>
        <w:t>线上2021年</w:t>
      </w:r>
      <w:r w:rsidR="00080FE4">
        <w:rPr>
          <w:rFonts w:ascii="华文仿宋" w:eastAsia="华文仿宋" w:hAnsi="华文仿宋"/>
          <w:sz w:val="28"/>
          <w:szCs w:val="28"/>
        </w:rPr>
        <w:t>标准</w:t>
      </w:r>
      <w:r w:rsidR="00080FE4" w:rsidRPr="00080FE4">
        <w:rPr>
          <w:rFonts w:ascii="华文仿宋" w:eastAsia="华文仿宋" w:hAnsi="华文仿宋" w:hint="eastAsia"/>
          <w:sz w:val="28"/>
          <w:szCs w:val="28"/>
        </w:rPr>
        <w:t>工作讨论会议，</w:t>
      </w:r>
      <w:r w:rsidR="00080FE4">
        <w:rPr>
          <w:rFonts w:ascii="华文仿宋" w:eastAsia="华文仿宋" w:hAnsi="华文仿宋" w:hint="eastAsia"/>
          <w:sz w:val="28"/>
          <w:szCs w:val="28"/>
        </w:rPr>
        <w:t>参会</w:t>
      </w:r>
      <w:r w:rsidR="00080FE4">
        <w:rPr>
          <w:rFonts w:ascii="华文仿宋" w:eastAsia="华文仿宋" w:hAnsi="华文仿宋"/>
          <w:sz w:val="28"/>
          <w:szCs w:val="28"/>
        </w:rPr>
        <w:t>专家对本文件的小组讨论稿</w:t>
      </w:r>
      <w:r w:rsidR="00080FE4">
        <w:rPr>
          <w:rFonts w:ascii="华文仿宋" w:eastAsia="华文仿宋" w:hAnsi="华文仿宋" w:hint="eastAsia"/>
          <w:sz w:val="28"/>
          <w:szCs w:val="28"/>
        </w:rPr>
        <w:t>展开了</w:t>
      </w:r>
      <w:r w:rsidR="00080FE4">
        <w:rPr>
          <w:rFonts w:ascii="华文仿宋" w:eastAsia="华文仿宋" w:hAnsi="华文仿宋"/>
          <w:sz w:val="28"/>
          <w:szCs w:val="28"/>
        </w:rPr>
        <w:t>讨论</w:t>
      </w:r>
      <w:r w:rsidR="00080FE4" w:rsidRPr="00080FE4">
        <w:rPr>
          <w:rFonts w:ascii="华文仿宋" w:eastAsia="华文仿宋" w:hAnsi="华文仿宋" w:hint="eastAsia"/>
          <w:sz w:val="28"/>
          <w:szCs w:val="28"/>
        </w:rPr>
        <w:t>，</w:t>
      </w:r>
      <w:r w:rsidR="00080FE4">
        <w:rPr>
          <w:rFonts w:ascii="华文仿宋" w:eastAsia="华文仿宋" w:hAnsi="华文仿宋" w:hint="eastAsia"/>
          <w:sz w:val="28"/>
          <w:szCs w:val="28"/>
        </w:rPr>
        <w:t>根据相关</w:t>
      </w:r>
      <w:r w:rsidR="00080FE4">
        <w:rPr>
          <w:rFonts w:ascii="华文仿宋" w:eastAsia="华文仿宋" w:hAnsi="华文仿宋"/>
          <w:sz w:val="28"/>
          <w:szCs w:val="28"/>
        </w:rPr>
        <w:t>专家意见，起草小组</w:t>
      </w:r>
      <w:r w:rsidR="00080FE4">
        <w:rPr>
          <w:rFonts w:ascii="华文仿宋" w:eastAsia="华文仿宋" w:hAnsi="华文仿宋" w:hint="eastAsia"/>
          <w:sz w:val="28"/>
          <w:szCs w:val="28"/>
        </w:rPr>
        <w:t>进一步</w:t>
      </w:r>
      <w:r w:rsidR="00080FE4">
        <w:rPr>
          <w:rFonts w:ascii="华文仿宋" w:eastAsia="华文仿宋" w:hAnsi="华文仿宋"/>
          <w:sz w:val="28"/>
          <w:szCs w:val="28"/>
        </w:rPr>
        <w:t>整理相关资料，对标准稿进一步修改完善，</w:t>
      </w:r>
      <w:r w:rsidR="00080FE4" w:rsidRPr="00080FE4">
        <w:rPr>
          <w:rFonts w:ascii="华文仿宋" w:eastAsia="华文仿宋" w:hAnsi="华文仿宋" w:hint="eastAsia"/>
          <w:sz w:val="28"/>
          <w:szCs w:val="28"/>
        </w:rPr>
        <w:t>形成标准征求意见稿。</w:t>
      </w:r>
    </w:p>
    <w:p w:rsidR="00B73F7B" w:rsidRPr="009628D3" w:rsidRDefault="00B73F7B" w:rsidP="0062659C">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本标准起草单位</w:t>
      </w:r>
      <w:r w:rsidR="009A1DEB" w:rsidRPr="009628D3">
        <w:rPr>
          <w:rFonts w:ascii="华文仿宋" w:eastAsia="华文仿宋" w:hAnsi="华文仿宋" w:hint="eastAsia"/>
          <w:sz w:val="28"/>
          <w:szCs w:val="28"/>
        </w:rPr>
        <w:t>:</w:t>
      </w:r>
      <w:r w:rsidR="00080FE4" w:rsidRPr="00080FE4">
        <w:rPr>
          <w:rFonts w:ascii="华文仿宋" w:eastAsia="华文仿宋" w:hAnsi="华文仿宋" w:hint="eastAsia"/>
          <w:sz w:val="28"/>
          <w:szCs w:val="28"/>
        </w:rPr>
        <w:t>广东省医疗器械质量监督检验所、宁波蓝野医疗器械有限公司、新华手术器械有限公司、浙江新亚医疗科技股份有限公司</w:t>
      </w:r>
      <w:r w:rsidR="00080FE4">
        <w:rPr>
          <w:rFonts w:ascii="华文仿宋" w:eastAsia="华文仿宋" w:hAnsi="华文仿宋" w:hint="eastAsia"/>
          <w:sz w:val="28"/>
          <w:szCs w:val="28"/>
        </w:rPr>
        <w:t>。</w:t>
      </w:r>
    </w:p>
    <w:p w:rsidR="00B73F7B" w:rsidRPr="009628D3" w:rsidRDefault="00B73F7B" w:rsidP="0062659C">
      <w:pPr>
        <w:spacing w:line="360" w:lineRule="auto"/>
        <w:ind w:firstLineChars="200" w:firstLine="560"/>
        <w:rPr>
          <w:rFonts w:ascii="华文仿宋" w:eastAsia="华文仿宋" w:hAnsi="华文仿宋"/>
          <w:sz w:val="28"/>
          <w:szCs w:val="28"/>
        </w:rPr>
      </w:pPr>
      <w:r w:rsidRPr="009628D3">
        <w:rPr>
          <w:rFonts w:ascii="华文仿宋" w:eastAsia="华文仿宋" w:hAnsi="华文仿宋" w:hint="eastAsia"/>
          <w:sz w:val="28"/>
          <w:szCs w:val="28"/>
        </w:rPr>
        <w:t>本标准主要起草人</w:t>
      </w:r>
      <w:r w:rsidR="009A1DEB" w:rsidRPr="009628D3">
        <w:rPr>
          <w:rFonts w:ascii="华文仿宋" w:eastAsia="华文仿宋" w:hAnsi="华文仿宋" w:hint="eastAsia"/>
          <w:sz w:val="28"/>
          <w:szCs w:val="28"/>
        </w:rPr>
        <w:t>:</w:t>
      </w:r>
      <w:r w:rsidR="009A3AED" w:rsidRPr="009628D3">
        <w:rPr>
          <w:rFonts w:ascii="华文仿宋" w:eastAsia="华文仿宋" w:hAnsi="华文仿宋" w:hint="eastAsia"/>
          <w:sz w:val="28"/>
          <w:szCs w:val="28"/>
        </w:rPr>
        <w:t>。</w:t>
      </w:r>
    </w:p>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（二）</w:t>
      </w:r>
      <w:r>
        <w:rPr>
          <w:rFonts w:ascii="仿宋_GB2312" w:eastAsia="仿宋_GB2312" w:hint="eastAsia"/>
          <w:b/>
          <w:bCs/>
          <w:sz w:val="24"/>
        </w:rPr>
        <w:t>行业标准编制原则和确定标准主要内容的论据</w:t>
      </w:r>
    </w:p>
    <w:p w:rsidR="00080FE4" w:rsidRPr="007F5742" w:rsidRDefault="00080FE4" w:rsidP="007F5742">
      <w:pPr>
        <w:spacing w:line="360" w:lineRule="auto"/>
        <w:ind w:firstLineChars="200" w:firstLine="560"/>
        <w:rPr>
          <w:rFonts w:ascii="华文仿宋" w:eastAsia="华文仿宋" w:hAnsi="华文仿宋"/>
          <w:sz w:val="28"/>
          <w:szCs w:val="28"/>
        </w:rPr>
      </w:pPr>
      <w:bookmarkStart w:id="0" w:name="_Toc277919723"/>
      <w:r w:rsidRPr="007F5742">
        <w:rPr>
          <w:rFonts w:ascii="华文仿宋" w:eastAsia="华文仿宋" w:hAnsi="华文仿宋" w:hint="eastAsia"/>
          <w:sz w:val="28"/>
          <w:szCs w:val="28"/>
        </w:rPr>
        <w:t>本标准使用重新起草法修改采用国际标准ISO 22570：2020</w:t>
      </w:r>
      <w:r w:rsidRPr="007F5742">
        <w:rPr>
          <w:rFonts w:ascii="华文仿宋" w:eastAsia="华文仿宋" w:hAnsi="华文仿宋" w:hint="eastAsia"/>
          <w:sz w:val="28"/>
          <w:szCs w:val="28"/>
        </w:rPr>
        <w:lastRenderedPageBreak/>
        <w:t>《Dentistry-Spoons and bone curettes》主要技术内容与其保持一致。</w:t>
      </w:r>
    </w:p>
    <w:p w:rsidR="00080FE4" w:rsidRPr="007F5742" w:rsidRDefault="00080FE4"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本标准的制定在编写格式上符合GB/T 1.1-2020《标准化工作导则 第1部分：标准化文件的结构和起草规则》的规定要求。按照</w:t>
      </w:r>
      <w:r w:rsidRPr="007F5742">
        <w:rPr>
          <w:rFonts w:ascii="华文仿宋" w:eastAsia="华文仿宋" w:hAnsi="华文仿宋"/>
          <w:sz w:val="28"/>
          <w:szCs w:val="28"/>
        </w:rPr>
        <w:t>GB/T 20000.2</w:t>
      </w:r>
      <w:r w:rsidRPr="007F5742">
        <w:rPr>
          <w:rFonts w:ascii="华文仿宋" w:eastAsia="华文仿宋" w:hAnsi="华文仿宋" w:hint="eastAsia"/>
          <w:sz w:val="28"/>
          <w:szCs w:val="28"/>
        </w:rPr>
        <w:t>-2009《标准化工作指南 第2部分 采用国际标准》的规定要求进行国际标准的采用。</w:t>
      </w:r>
    </w:p>
    <w:p w:rsidR="00080FE4" w:rsidRPr="007F5742" w:rsidRDefault="00080FE4"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本标准规定了口腔手术过程中使用的挖匙和骨刮匙的要求和测试方法。本标准规定了其分类、要求、测试方法以及标记信息。</w:t>
      </w:r>
    </w:p>
    <w:bookmarkEnd w:id="0"/>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（三）</w:t>
      </w:r>
      <w:r>
        <w:rPr>
          <w:rFonts w:ascii="仿宋_GB2312" w:eastAsia="仿宋_GB2312" w:hint="eastAsia"/>
          <w:b/>
          <w:bCs/>
          <w:sz w:val="24"/>
        </w:rPr>
        <w:t>主要试验（或验证）的分析、综述报告，技术经济论证，预期的经济效果</w:t>
      </w:r>
    </w:p>
    <w:p w:rsidR="007F5742" w:rsidRPr="007F5742" w:rsidRDefault="007F5742"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本标准试验的对象为口腔手术过程中使用的挖匙和骨刮匙。</w:t>
      </w:r>
    </w:p>
    <w:p w:rsidR="007F5742" w:rsidRPr="007F5742" w:rsidRDefault="007F5742"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本校准选取多家制造商（涵盖国产、进口产品）生产的代表性样品进行验证。通过验证，以确定相关技术要求的合理性和试验方法的可行性。</w:t>
      </w:r>
    </w:p>
    <w:p w:rsidR="007F5742" w:rsidRPr="007F5742" w:rsidRDefault="007F5742"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本校准中制定的试验方法均为常规、通用的方法、各检测项目中涉及到测试设备均具备相应的检测仪器，所需检测设备容易购买，国内试验条件成熟，所需试验设备完备，国家级医疗器械质量监督检验中心均具备检测标准中全部技术内容的能力。</w:t>
      </w:r>
    </w:p>
    <w:p w:rsidR="007F5742" w:rsidRPr="007F5742" w:rsidRDefault="007F5742"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我国的口腔患者群体庞大，挖匙和骨刮匙用于口腔外科手术时除去牙碎片、残渣或刮除肉芽肿、囊肿、牙槽内病变组织及腐碎骨质用，是牙科手术中常用的齿科器械。本标准规定了挖匙和骨刮匙的预期用途、类型设计、结构组成、性能属性、性能评估、可重复使用性、制造商提供的信息及包装标识等信息，能够规范该类产品的技术指标和提高产品质量。本标准项目的</w:t>
      </w:r>
      <w:r w:rsidRPr="007F5742">
        <w:rPr>
          <w:rFonts w:ascii="华文仿宋" w:eastAsia="华文仿宋" w:hAnsi="华文仿宋"/>
          <w:sz w:val="28"/>
          <w:szCs w:val="28"/>
        </w:rPr>
        <w:t>制定实施</w:t>
      </w:r>
      <w:r w:rsidRPr="007F5742">
        <w:rPr>
          <w:rFonts w:ascii="华文仿宋" w:eastAsia="华文仿宋" w:hAnsi="华文仿宋" w:hint="eastAsia"/>
          <w:sz w:val="28"/>
          <w:szCs w:val="28"/>
        </w:rPr>
        <w:t>，对牙科学领域中广大相关医疗器械生产企业、经营单位、临床单位以及监管机构起到很好地参考作用，对提高我国该领域技术水平及临床治疗效果有很好的社会效益与经济效益。</w:t>
      </w:r>
    </w:p>
    <w:p w:rsidR="007F5742" w:rsidRDefault="007F5742" w:rsidP="00080FE4">
      <w:pPr>
        <w:spacing w:line="360" w:lineRule="auto"/>
        <w:ind w:firstLineChars="200" w:firstLine="560"/>
        <w:rPr>
          <w:rFonts w:ascii="仿宋_GB2312" w:eastAsia="仿宋_GB2312" w:hAnsi="仿宋" w:cs="仿宋"/>
          <w:kern w:val="0"/>
          <w:sz w:val="24"/>
        </w:rPr>
      </w:pPr>
      <w:r w:rsidRPr="007F5742">
        <w:rPr>
          <w:rFonts w:ascii="华文仿宋" w:eastAsia="华文仿宋" w:hAnsi="华文仿宋" w:hint="eastAsia"/>
          <w:sz w:val="28"/>
          <w:szCs w:val="28"/>
        </w:rPr>
        <w:lastRenderedPageBreak/>
        <w:t>挖匙和骨刮匙作为口腔手术中撬除牙残根或碎根尖、刮除软组织的器械，具有较高的临床使用率。目前我国该类产品的生产企业有二十余家，涉及进口与国产注册证四十余个。ISO 22570:2020是在2020年发布的，具有较好的试验验证及可操作性，对我国企业有良好的参考价值。</w:t>
      </w:r>
    </w:p>
    <w:p w:rsidR="00080FE4" w:rsidRDefault="00080FE4" w:rsidP="00080FE4">
      <w:pPr>
        <w:pStyle w:val="af9"/>
        <w:widowControl w:val="0"/>
        <w:spacing w:line="360" w:lineRule="auto"/>
        <w:ind w:left="0" w:firstLine="0"/>
        <w:rPr>
          <w:rFonts w:ascii="仿宋_GB2312" w:eastAsia="仿宋_GB2312" w:hAnsi="宋体"/>
          <w:color w:val="000000"/>
          <w:sz w:val="24"/>
          <w:szCs w:val="24"/>
        </w:rPr>
      </w:pPr>
      <w:r>
        <w:rPr>
          <w:rFonts w:ascii="仿宋_GB2312" w:eastAsia="仿宋_GB2312" w:hAnsi="宋体" w:hint="eastAsia"/>
          <w:b/>
          <w:sz w:val="24"/>
          <w:szCs w:val="24"/>
        </w:rPr>
        <w:t>（四）</w:t>
      </w:r>
      <w:r>
        <w:rPr>
          <w:rFonts w:ascii="仿宋_GB2312" w:eastAsia="仿宋_GB2312" w:hint="eastAsia"/>
          <w:b/>
          <w:bCs/>
          <w:sz w:val="24"/>
          <w:szCs w:val="24"/>
        </w:rPr>
        <w:t>采用国际标准和国外先进标准的程度，以及与国际、国外同类标准水平的对比情况，或与测试的国外样品、样机的有关数据对比情况</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本文件使用重新起草法修改采用ISO 22570：2020《牙科学 挖匙和骨刮匙》（英文版）。</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 xml:space="preserve">本文件与ISO 22570：2020主要技术差异如下： </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w:t>
      </w:r>
      <w:r w:rsidRPr="007F5742">
        <w:rPr>
          <w:rFonts w:ascii="华文仿宋" w:eastAsia="华文仿宋" w:hAnsi="华文仿宋" w:hint="eastAsia"/>
          <w:sz w:val="28"/>
          <w:szCs w:val="28"/>
        </w:rPr>
        <w:tab/>
        <w:t>对于本文件中引用的其他国际标准，若已转化为我国标准，本文件将引用的国际标准号替换为相应的国家或行业标准号，并在本文件第2章注明采用关系；</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w:t>
      </w:r>
      <w:r w:rsidRPr="007F5742">
        <w:rPr>
          <w:rFonts w:ascii="华文仿宋" w:eastAsia="华文仿宋" w:hAnsi="华文仿宋" w:hint="eastAsia"/>
          <w:sz w:val="28"/>
          <w:szCs w:val="28"/>
        </w:rPr>
        <w:tab/>
        <w:t>5.4中，将 ISO 6507-1替换为GB/T 4340.1，并作为规范性引用文件列于第2章，作为测试方法必要信息；</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w:t>
      </w:r>
      <w:r w:rsidRPr="007F5742">
        <w:rPr>
          <w:rFonts w:ascii="华文仿宋" w:eastAsia="华文仿宋" w:hAnsi="华文仿宋" w:hint="eastAsia"/>
          <w:sz w:val="28"/>
          <w:szCs w:val="28"/>
        </w:rPr>
        <w:tab/>
        <w:t>删除了7.1和7.2的“UDI编码（唯一医疗设备标识），如果相关法规要求”，UDI编码需符合国内相关法规要求，不作为标准技术要求列出。</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本文件与ISO 22570：2020相比还做了下列编辑性修改：</w:t>
      </w:r>
    </w:p>
    <w:p w:rsidR="007F5742" w:rsidRPr="007F5742" w:rsidRDefault="007F5742" w:rsidP="007F5742">
      <w:pPr>
        <w:spacing w:line="360" w:lineRule="auto"/>
        <w:ind w:leftChars="200" w:left="420"/>
        <w:rPr>
          <w:rFonts w:ascii="华文仿宋" w:eastAsia="华文仿宋" w:hAnsi="华文仿宋"/>
          <w:sz w:val="28"/>
          <w:szCs w:val="28"/>
        </w:rPr>
      </w:pPr>
      <w:r w:rsidRPr="007F5742">
        <w:rPr>
          <w:rFonts w:ascii="华文仿宋" w:eastAsia="华文仿宋" w:hAnsi="华文仿宋" w:hint="eastAsia"/>
          <w:sz w:val="28"/>
          <w:szCs w:val="28"/>
        </w:rPr>
        <w:t>——</w:t>
      </w:r>
      <w:r w:rsidRPr="007F5742">
        <w:rPr>
          <w:rFonts w:ascii="华文仿宋" w:eastAsia="华文仿宋" w:hAnsi="华文仿宋" w:hint="eastAsia"/>
          <w:sz w:val="28"/>
          <w:szCs w:val="28"/>
        </w:rPr>
        <w:tab/>
        <w:t>按照GB/T 1.1的要求进行编辑修改；</w:t>
      </w:r>
    </w:p>
    <w:p w:rsidR="007F5742" w:rsidRDefault="007F5742" w:rsidP="007F5742">
      <w:pPr>
        <w:spacing w:line="360" w:lineRule="auto"/>
        <w:ind w:leftChars="200" w:left="420"/>
        <w:rPr>
          <w:rFonts w:ascii="仿宋_GB2312" w:eastAsia="仿宋_GB2312" w:hAnsi="宋体"/>
          <w:sz w:val="24"/>
        </w:rPr>
      </w:pPr>
      <w:r w:rsidRPr="007F5742">
        <w:rPr>
          <w:rFonts w:ascii="华文仿宋" w:eastAsia="华文仿宋" w:hAnsi="华文仿宋" w:hint="eastAsia"/>
          <w:sz w:val="28"/>
          <w:szCs w:val="28"/>
        </w:rPr>
        <w:t>——</w:t>
      </w:r>
      <w:r w:rsidRPr="007F5742">
        <w:rPr>
          <w:rFonts w:ascii="华文仿宋" w:eastAsia="华文仿宋" w:hAnsi="华文仿宋" w:hint="eastAsia"/>
          <w:sz w:val="28"/>
          <w:szCs w:val="28"/>
        </w:rPr>
        <w:tab/>
        <w:t>删除国际标准的前言。</w:t>
      </w:r>
    </w:p>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（五）</w:t>
      </w:r>
      <w:r>
        <w:rPr>
          <w:rFonts w:ascii="仿宋_GB2312" w:eastAsia="仿宋_GB2312" w:hint="eastAsia"/>
          <w:b/>
          <w:bCs/>
          <w:sz w:val="24"/>
        </w:rPr>
        <w:t>与有关的现行法律、法规和其他相关标准的关系等协调性问题</w:t>
      </w:r>
    </w:p>
    <w:p w:rsidR="007F5742" w:rsidRPr="007F5742" w:rsidRDefault="007F5742" w:rsidP="00080FE4">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本标准</w:t>
      </w:r>
      <w:r w:rsidR="00080FE4" w:rsidRPr="007F5742">
        <w:rPr>
          <w:rFonts w:ascii="华文仿宋" w:eastAsia="华文仿宋" w:hAnsi="华文仿宋" w:hint="eastAsia"/>
          <w:sz w:val="28"/>
          <w:szCs w:val="28"/>
        </w:rPr>
        <w:t>与有关的现行法律、法规和其他相关标准无冲突。</w:t>
      </w:r>
    </w:p>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（六）</w:t>
      </w:r>
      <w:r>
        <w:rPr>
          <w:rFonts w:ascii="仿宋_GB2312" w:eastAsia="仿宋_GB2312" w:hint="eastAsia"/>
          <w:b/>
          <w:bCs/>
          <w:sz w:val="24"/>
        </w:rPr>
        <w:t>重大分歧意见的处理经过和依据</w:t>
      </w:r>
    </w:p>
    <w:p w:rsidR="00080FE4" w:rsidRDefault="00080FE4" w:rsidP="007F5742">
      <w:pPr>
        <w:spacing w:line="360" w:lineRule="auto"/>
        <w:ind w:firstLineChars="200" w:firstLine="560"/>
        <w:rPr>
          <w:rFonts w:ascii="仿宋_GB2312" w:eastAsia="仿宋_GB2312" w:hAnsi="仿宋" w:cs="仿宋"/>
          <w:kern w:val="0"/>
          <w:sz w:val="24"/>
        </w:rPr>
      </w:pPr>
      <w:r w:rsidRPr="007F5742">
        <w:rPr>
          <w:rFonts w:ascii="华文仿宋" w:eastAsia="华文仿宋" w:hAnsi="华文仿宋" w:hint="eastAsia"/>
          <w:sz w:val="28"/>
          <w:szCs w:val="28"/>
        </w:rPr>
        <w:t>无重大分歧意见。</w:t>
      </w:r>
    </w:p>
    <w:p w:rsidR="00080FE4" w:rsidRDefault="00080FE4" w:rsidP="00080FE4">
      <w:pPr>
        <w:spacing w:line="360" w:lineRule="auto"/>
        <w:rPr>
          <w:rFonts w:ascii="仿宋_GB2312" w:eastAsia="仿宋_GB2312"/>
          <w:b/>
          <w:bCs/>
          <w:sz w:val="24"/>
        </w:rPr>
      </w:pPr>
      <w:r>
        <w:rPr>
          <w:rFonts w:ascii="仿宋_GB2312" w:eastAsia="仿宋_GB2312" w:hAnsi="宋体" w:hint="eastAsia"/>
          <w:b/>
          <w:sz w:val="24"/>
        </w:rPr>
        <w:t>（七）</w:t>
      </w:r>
      <w:r>
        <w:rPr>
          <w:rFonts w:ascii="仿宋_GB2312" w:eastAsia="仿宋_GB2312" w:hint="eastAsia"/>
          <w:b/>
          <w:bCs/>
          <w:sz w:val="24"/>
        </w:rPr>
        <w:t>行业标准作为强制性行业标准或推性行业标准的建议</w:t>
      </w:r>
    </w:p>
    <w:p w:rsidR="00080FE4" w:rsidRDefault="00080FE4" w:rsidP="00080FE4">
      <w:pPr>
        <w:spacing w:line="360" w:lineRule="auto"/>
        <w:ind w:firstLineChars="200" w:firstLine="560"/>
        <w:rPr>
          <w:rFonts w:ascii="仿宋_GB2312" w:eastAsia="仿宋_GB2312" w:hAnsi="宋体"/>
          <w:sz w:val="24"/>
        </w:rPr>
      </w:pPr>
      <w:r w:rsidRPr="007F5742">
        <w:rPr>
          <w:rFonts w:ascii="华文仿宋" w:eastAsia="华文仿宋" w:hAnsi="华文仿宋" w:hint="eastAsia"/>
          <w:sz w:val="28"/>
          <w:szCs w:val="28"/>
        </w:rPr>
        <w:lastRenderedPageBreak/>
        <w:t>建议本标准作为推荐性标准使用。</w:t>
      </w:r>
    </w:p>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（八）</w:t>
      </w:r>
      <w:r>
        <w:rPr>
          <w:rFonts w:ascii="仿宋_GB2312" w:eastAsia="仿宋_GB2312" w:hint="eastAsia"/>
          <w:b/>
          <w:bCs/>
          <w:sz w:val="24"/>
        </w:rPr>
        <w:t>贯彻行业标准的要求和措施建议</w:t>
      </w:r>
    </w:p>
    <w:p w:rsidR="00080FE4" w:rsidRPr="007F5742" w:rsidRDefault="00080FE4" w:rsidP="007F5742">
      <w:pPr>
        <w:spacing w:line="360" w:lineRule="auto"/>
        <w:ind w:firstLineChars="200" w:firstLine="560"/>
        <w:rPr>
          <w:rFonts w:ascii="华文仿宋" w:eastAsia="华文仿宋" w:hAnsi="华文仿宋"/>
          <w:sz w:val="28"/>
          <w:szCs w:val="28"/>
        </w:rPr>
      </w:pPr>
      <w:r w:rsidRPr="007F5742">
        <w:rPr>
          <w:rFonts w:ascii="华文仿宋" w:eastAsia="华文仿宋" w:hAnsi="华文仿宋" w:hint="eastAsia"/>
          <w:sz w:val="28"/>
          <w:szCs w:val="28"/>
        </w:rPr>
        <w:t>建议在本标准发布后、实施前结合技委会工作安排和相关要求组织相关生产、销售、使用单位、检测中心、监管人员和其他关注本标准的人员对本部分标准进行宣贯和培训。建议该标准自发布之日起12个月后予以实施。</w:t>
      </w:r>
    </w:p>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（九）废止现行有关标准的建议</w:t>
      </w:r>
    </w:p>
    <w:p w:rsidR="00080FE4" w:rsidRDefault="00080FE4" w:rsidP="00080FE4">
      <w:pPr>
        <w:spacing w:line="360" w:lineRule="auto"/>
        <w:ind w:firstLine="482"/>
        <w:rPr>
          <w:rFonts w:ascii="仿宋_GB2312" w:eastAsia="仿宋_GB2312" w:hAnsi="宋体"/>
          <w:sz w:val="24"/>
        </w:rPr>
      </w:pPr>
      <w:r w:rsidRPr="007F5742">
        <w:rPr>
          <w:rFonts w:ascii="华文仿宋" w:eastAsia="华文仿宋" w:hAnsi="华文仿宋" w:hint="eastAsia"/>
          <w:sz w:val="28"/>
          <w:szCs w:val="28"/>
        </w:rPr>
        <w:t>无。</w:t>
      </w:r>
    </w:p>
    <w:p w:rsidR="00080FE4" w:rsidRDefault="00080FE4" w:rsidP="00080FE4">
      <w:pPr>
        <w:spacing w:line="360" w:lineRule="auto"/>
        <w:rPr>
          <w:rFonts w:ascii="仿宋_GB2312" w:eastAsia="仿宋_GB2312" w:hAnsi="宋体"/>
          <w:b/>
          <w:sz w:val="24"/>
        </w:rPr>
      </w:pPr>
      <w:r>
        <w:rPr>
          <w:rFonts w:ascii="仿宋_GB2312" w:eastAsia="仿宋_GB2312" w:hAnsi="宋体" w:hint="eastAsia"/>
          <w:b/>
          <w:sz w:val="24"/>
        </w:rPr>
        <w:t>（十）其他应予说明的事项</w:t>
      </w:r>
    </w:p>
    <w:p w:rsidR="00080FE4" w:rsidRDefault="00080FE4" w:rsidP="00080FE4">
      <w:pPr>
        <w:spacing w:line="360" w:lineRule="auto"/>
        <w:ind w:firstLine="482"/>
        <w:rPr>
          <w:rFonts w:ascii="仿宋_GB2312" w:eastAsia="仿宋_GB2312" w:hAnsi="宋体"/>
          <w:sz w:val="24"/>
        </w:rPr>
      </w:pPr>
      <w:r>
        <w:rPr>
          <w:rFonts w:ascii="仿宋_GB2312" w:eastAsia="仿宋_GB2312" w:hAnsi="宋体" w:hint="eastAsia"/>
          <w:sz w:val="24"/>
        </w:rPr>
        <w:t>无。</w:t>
      </w:r>
    </w:p>
    <w:p w:rsidR="00080FE4" w:rsidRDefault="00080FE4" w:rsidP="00080FE4">
      <w:pPr>
        <w:spacing w:line="360" w:lineRule="auto"/>
        <w:ind w:leftChars="1530" w:left="3453" w:hangingChars="100" w:hanging="240"/>
        <w:jc w:val="right"/>
        <w:rPr>
          <w:rFonts w:ascii="仿宋_GB2312" w:eastAsia="仿宋_GB2312" w:hAnsi="宋体"/>
          <w:sz w:val="24"/>
        </w:rPr>
      </w:pPr>
    </w:p>
    <w:p w:rsidR="00080FE4" w:rsidRDefault="00080FE4" w:rsidP="00080FE4">
      <w:pPr>
        <w:spacing w:line="360" w:lineRule="auto"/>
        <w:ind w:leftChars="1530" w:left="3453" w:hangingChars="100" w:hanging="240"/>
        <w:jc w:val="right"/>
        <w:rPr>
          <w:rFonts w:ascii="仿宋_GB2312" w:eastAsia="仿宋_GB2312" w:hAnsi="宋体"/>
          <w:sz w:val="24"/>
        </w:rPr>
      </w:pPr>
      <w:r w:rsidRPr="0061555F">
        <w:rPr>
          <w:rFonts w:ascii="仿宋_GB2312" w:eastAsia="仿宋_GB2312" w:hAnsi="宋体" w:hint="eastAsia"/>
          <w:sz w:val="24"/>
        </w:rPr>
        <w:t>全国口腔材料和器械设备标准化技术委员会</w:t>
      </w:r>
    </w:p>
    <w:p w:rsidR="00080FE4" w:rsidRDefault="00080FE4" w:rsidP="00080FE4">
      <w:pPr>
        <w:spacing w:line="360" w:lineRule="auto"/>
        <w:ind w:leftChars="1530" w:left="3453" w:hangingChars="100" w:hanging="240"/>
        <w:jc w:val="center"/>
        <w:rPr>
          <w:rFonts w:ascii="仿宋_GB2312" w:eastAsia="仿宋_GB2312"/>
          <w:sz w:val="24"/>
        </w:rPr>
      </w:pPr>
      <w:r w:rsidRPr="0061555F">
        <w:rPr>
          <w:rFonts w:ascii="仿宋_GB2312" w:eastAsia="仿宋_GB2312" w:hAnsi="宋体" w:hint="eastAsia"/>
          <w:sz w:val="24"/>
        </w:rPr>
        <w:t>齿科设备与器械分技术委员会</w:t>
      </w:r>
    </w:p>
    <w:p w:rsidR="00080FE4" w:rsidRDefault="00080FE4" w:rsidP="00080FE4">
      <w:pPr>
        <w:spacing w:line="360" w:lineRule="auto"/>
        <w:jc w:val="center"/>
      </w:pPr>
      <w:r>
        <w:rPr>
          <w:rFonts w:ascii="仿宋_GB2312" w:eastAsia="仿宋_GB2312" w:hint="eastAsia"/>
          <w:sz w:val="24"/>
        </w:rPr>
        <w:t xml:space="preserve">                                             202</w:t>
      </w:r>
      <w:r w:rsidR="007F5742">
        <w:rPr>
          <w:rFonts w:ascii="仿宋_GB2312" w:eastAsia="仿宋_GB2312"/>
          <w:sz w:val="24"/>
        </w:rPr>
        <w:t>1</w:t>
      </w:r>
      <w:r>
        <w:rPr>
          <w:rFonts w:ascii="仿宋_GB2312" w:eastAsia="仿宋_GB2312" w:hint="eastAsia"/>
          <w:sz w:val="24"/>
        </w:rPr>
        <w:t>年</w:t>
      </w:r>
      <w:r w:rsidR="007F5742">
        <w:rPr>
          <w:rFonts w:ascii="仿宋_GB2312" w:eastAsia="仿宋_GB2312"/>
          <w:sz w:val="24"/>
        </w:rPr>
        <w:t>04</w:t>
      </w:r>
      <w:r>
        <w:rPr>
          <w:rFonts w:ascii="仿宋_GB2312" w:eastAsia="仿宋_GB2312" w:hint="eastAsia"/>
          <w:sz w:val="24"/>
        </w:rPr>
        <w:t>月2</w:t>
      </w:r>
      <w:r w:rsidR="007F5742">
        <w:rPr>
          <w:rFonts w:ascii="仿宋_GB2312" w:eastAsia="仿宋_GB2312"/>
          <w:sz w:val="24"/>
        </w:rPr>
        <w:t>2</w:t>
      </w:r>
      <w:bookmarkStart w:id="1" w:name="_GoBack"/>
      <w:bookmarkEnd w:id="1"/>
      <w:r>
        <w:rPr>
          <w:rFonts w:ascii="仿宋_GB2312" w:eastAsia="仿宋_GB2312" w:hint="eastAsia"/>
          <w:sz w:val="24"/>
        </w:rPr>
        <w:t>日</w:t>
      </w:r>
    </w:p>
    <w:p w:rsidR="00B73F7B" w:rsidRPr="007E0281" w:rsidRDefault="00B73F7B" w:rsidP="00080FE4">
      <w:pPr>
        <w:spacing w:line="360" w:lineRule="auto"/>
        <w:ind w:left="420"/>
        <w:rPr>
          <w:rFonts w:ascii="华文仿宋" w:eastAsia="华文仿宋" w:hAnsi="华文仿宋"/>
          <w:sz w:val="28"/>
          <w:szCs w:val="28"/>
        </w:rPr>
      </w:pPr>
    </w:p>
    <w:sectPr w:rsidR="00B73F7B" w:rsidRPr="007E0281" w:rsidSect="00A318E4">
      <w:pgSz w:w="11907" w:h="16839"/>
      <w:pgMar w:top="1418" w:right="1134" w:bottom="935" w:left="1418" w:header="1418" w:footer="851" w:gutter="0"/>
      <w:cols w:space="72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94AA8" w:rsidRDefault="00494AA8" w:rsidP="001D400D">
      <w:r>
        <w:separator/>
      </w:r>
    </w:p>
  </w:endnote>
  <w:endnote w:type="continuationSeparator" w:id="1">
    <w:p w:rsidR="00494AA8" w:rsidRDefault="00494AA8" w:rsidP="001D400D">
      <w:r>
        <w:continuationSeparator/>
      </w:r>
    </w:p>
  </w:endnote>
</w:endnotes>
</file>

<file path=word/fontTable.xml><?xml version="1.0" encoding="utf-8"?>
<w:fonts xmlns:r="http://schemas.openxmlformats.org/officeDocument/2006/relationships" xmlns:w="http://schemas.openxmlformats.org/wordprocessingml/2006/main">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华文仿宋">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94AA8" w:rsidRDefault="00494AA8" w:rsidP="001D400D">
      <w:r>
        <w:separator/>
      </w:r>
    </w:p>
  </w:footnote>
  <w:footnote w:type="continuationSeparator" w:id="1">
    <w:p w:rsidR="00494AA8" w:rsidRDefault="00494AA8" w:rsidP="001D400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BF583A"/>
    <w:multiLevelType w:val="multilevel"/>
    <w:tmpl w:val="11B000D8"/>
    <w:lvl w:ilvl="0">
      <w:start w:val="1"/>
      <w:numFmt w:val="decimal"/>
      <w:lvlRestart w:val="0"/>
      <w:suff w:val="nothing"/>
      <w:lvlText w:val="注%1："/>
      <w:lvlJc w:val="left"/>
      <w:pPr>
        <w:ind w:left="811"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1">
    <w:nsid w:val="1FC91163"/>
    <w:multiLevelType w:val="multilevel"/>
    <w:tmpl w:val="1FC91163"/>
    <w:lvl w:ilvl="0">
      <w:start w:val="1"/>
      <w:numFmt w:val="decimal"/>
      <w:suff w:val="nothing"/>
      <w:lvlText w:val="%1　"/>
      <w:lvlJc w:val="left"/>
      <w:pPr>
        <w:ind w:left="735" w:firstLine="0"/>
      </w:pPr>
      <w:rPr>
        <w:rFonts w:ascii="黑体" w:eastAsia="黑体" w:hAnsi="Times New Roman" w:hint="eastAsia"/>
        <w:b w:val="0"/>
        <w:i w:val="0"/>
        <w:sz w:val="21"/>
        <w:szCs w:val="21"/>
      </w:rPr>
    </w:lvl>
    <w:lvl w:ilvl="1">
      <w:start w:val="1"/>
      <w:numFmt w:val="decimal"/>
      <w:suff w:val="nothing"/>
      <w:lvlText w:val="%1.%2　"/>
      <w:lvlJc w:val="left"/>
      <w:pPr>
        <w:ind w:left="2205"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em w:val="none"/>
      </w:rPr>
    </w:lvl>
    <w:lvl w:ilvl="2">
      <w:start w:val="1"/>
      <w:numFmt w:val="decimal"/>
      <w:suff w:val="nothing"/>
      <w:lvlText w:val="%1.%2.%3　"/>
      <w:lvlJc w:val="left"/>
      <w:pPr>
        <w:ind w:left="231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2">
    <w:nsid w:val="2C5917C3"/>
    <w:multiLevelType w:val="multilevel"/>
    <w:tmpl w:val="4A5880CC"/>
    <w:lvl w:ilvl="0">
      <w:start w:val="1"/>
      <w:numFmt w:val="none"/>
      <w:pStyle w:val="a"/>
      <w:suff w:val="nothing"/>
      <w:lvlText w:val="%1——"/>
      <w:lvlJc w:val="left"/>
      <w:pPr>
        <w:ind w:left="1117" w:hanging="408"/>
      </w:pPr>
      <w:rPr>
        <w:rFonts w:ascii="宋体" w:eastAsia="宋体" w:hAnsi="宋体" w:hint="eastAsia"/>
        <w:lang w:val="en-US"/>
      </w:rPr>
    </w:lvl>
    <w:lvl w:ilvl="1">
      <w:start w:val="1"/>
      <w:numFmt w:val="bullet"/>
      <w:lvlText w:val=""/>
      <w:lvlJc w:val="left"/>
      <w:pPr>
        <w:tabs>
          <w:tab w:val="num" w:pos="760"/>
        </w:tabs>
        <w:ind w:left="1264" w:hanging="413"/>
      </w:pPr>
      <w:rPr>
        <w:rFonts w:ascii="Symbol" w:hAnsi="Symbol" w:hint="default"/>
        <w:color w:val="auto"/>
      </w:rPr>
    </w:lvl>
    <w:lvl w:ilvl="2">
      <w:start w:val="1"/>
      <w:numFmt w:val="bullet"/>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3">
    <w:nsid w:val="3D150BF5"/>
    <w:multiLevelType w:val="multilevel"/>
    <w:tmpl w:val="3D150BF5"/>
    <w:lvl w:ilvl="0">
      <w:start w:val="4"/>
      <w:numFmt w:val="decimal"/>
      <w:lvlText w:val="%1."/>
      <w:lvlJc w:val="left"/>
      <w:pPr>
        <w:tabs>
          <w:tab w:val="num" w:pos="360"/>
        </w:tabs>
        <w:ind w:left="360" w:hanging="360"/>
      </w:pPr>
      <w:rPr>
        <w:rFonts w:hint="default"/>
        <w:b/>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4">
    <w:nsid w:val="44C50F90"/>
    <w:multiLevelType w:val="multilevel"/>
    <w:tmpl w:val="44C50F90"/>
    <w:lvl w:ilvl="0">
      <w:start w:val="1"/>
      <w:numFmt w:val="lowerLetter"/>
      <w:lvlText w:val="%1)"/>
      <w:lvlJc w:val="left"/>
      <w:pPr>
        <w:tabs>
          <w:tab w:val="num" w:pos="839"/>
        </w:tabs>
        <w:ind w:left="839" w:hanging="419"/>
      </w:pPr>
      <w:rPr>
        <w:rFonts w:ascii="宋体" w:eastAsia="宋体" w:hAnsi="宋体" w:hint="eastAsia"/>
        <w:b w:val="0"/>
        <w:i w:val="0"/>
        <w:spacing w:val="0"/>
        <w:w w:val="100"/>
        <w:sz w:val="20"/>
        <w:szCs w:val="21"/>
      </w:rPr>
    </w:lvl>
    <w:lvl w:ilvl="1">
      <w:start w:val="1"/>
      <w:numFmt w:val="decimal"/>
      <w:lvlText w:val="%2)"/>
      <w:lvlJc w:val="left"/>
      <w:pPr>
        <w:tabs>
          <w:tab w:val="num" w:pos="1259"/>
        </w:tabs>
        <w:ind w:left="1259" w:hanging="420"/>
      </w:pPr>
      <w:rPr>
        <w:rFonts w:ascii="宋体" w:eastAsia="宋体" w:hAnsi="宋体" w:hint="eastAsia"/>
        <w:b w:val="0"/>
        <w:i w:val="0"/>
        <w:snapToGrid/>
        <w:spacing w:val="0"/>
        <w:w w:val="100"/>
        <w:kern w:val="21"/>
        <w:sz w:val="20"/>
      </w:rPr>
    </w:lvl>
    <w:lvl w:ilvl="2">
      <w:start w:val="1"/>
      <w:numFmt w:val="decimal"/>
      <w:lvlText w:val="(%3)"/>
      <w:lvlJc w:val="left"/>
      <w:pPr>
        <w:tabs>
          <w:tab w:val="num" w:pos="0"/>
        </w:tabs>
        <w:ind w:left="1678" w:hanging="419"/>
      </w:pPr>
      <w:rPr>
        <w:rFonts w:ascii="宋体" w:eastAsia="宋体" w:hAnsi="宋体" w:hint="eastAsia"/>
        <w:b w:val="0"/>
        <w:i w:val="0"/>
        <w:sz w:val="20"/>
        <w:szCs w:val="21"/>
      </w:rPr>
    </w:lvl>
    <w:lvl w:ilvl="3">
      <w:start w:val="1"/>
      <w:numFmt w:val="decimal"/>
      <w:lvlText w:val="%4."/>
      <w:lvlJc w:val="left"/>
      <w:pPr>
        <w:tabs>
          <w:tab w:val="num" w:pos="2098"/>
        </w:tabs>
        <w:ind w:left="2098" w:hanging="420"/>
      </w:pPr>
      <w:rPr>
        <w:rFonts w:ascii="黑体" w:eastAsia="黑体" w:hAnsi="Times New Roman" w:hint="eastAsia"/>
        <w:b w:val="0"/>
        <w:i w:val="0"/>
        <w:sz w:val="21"/>
      </w:rPr>
    </w:lvl>
    <w:lvl w:ilvl="4">
      <w:start w:val="1"/>
      <w:numFmt w:val="lowerLetter"/>
      <w:lvlText w:val="%5)"/>
      <w:lvlJc w:val="left"/>
      <w:pPr>
        <w:tabs>
          <w:tab w:val="num" w:pos="2517"/>
        </w:tabs>
        <w:ind w:left="2517" w:hanging="419"/>
      </w:pPr>
      <w:rPr>
        <w:rFonts w:ascii="黑体" w:eastAsia="黑体" w:hAnsi="Times New Roman" w:hint="eastAsia"/>
        <w:b w:val="0"/>
        <w:i w:val="0"/>
        <w:sz w:val="21"/>
      </w:rPr>
    </w:lvl>
    <w:lvl w:ilvl="5">
      <w:start w:val="1"/>
      <w:numFmt w:val="lowerRoman"/>
      <w:lvlText w:val="%6."/>
      <w:lvlJc w:val="right"/>
      <w:pPr>
        <w:tabs>
          <w:tab w:val="num" w:pos="2942"/>
        </w:tabs>
        <w:ind w:left="2937" w:hanging="420"/>
      </w:pPr>
      <w:rPr>
        <w:rFonts w:ascii="黑体" w:eastAsia="黑体" w:hAnsi="Times New Roman" w:hint="eastAsia"/>
        <w:b w:val="0"/>
        <w:i w:val="0"/>
        <w:sz w:val="21"/>
      </w:rPr>
    </w:lvl>
    <w:lvl w:ilvl="6">
      <w:start w:val="1"/>
      <w:numFmt w:val="decimal"/>
      <w:lvlText w:val="%7."/>
      <w:lvlJc w:val="left"/>
      <w:pPr>
        <w:tabs>
          <w:tab w:val="num" w:pos="3362"/>
        </w:tabs>
        <w:ind w:left="3356" w:hanging="414"/>
      </w:pPr>
      <w:rPr>
        <w:rFonts w:ascii="黑体" w:eastAsia="黑体" w:hAnsi="Times New Roman" w:hint="eastAsia"/>
        <w:b w:val="0"/>
        <w:i w:val="0"/>
        <w:sz w:val="21"/>
      </w:rPr>
    </w:lvl>
    <w:lvl w:ilvl="7">
      <w:start w:val="1"/>
      <w:numFmt w:val="lowerLetter"/>
      <w:lvlText w:val="%8)"/>
      <w:lvlJc w:val="left"/>
      <w:pPr>
        <w:tabs>
          <w:tab w:val="num" w:pos="3781"/>
        </w:tabs>
        <w:ind w:left="3776" w:hanging="414"/>
      </w:pPr>
      <w:rPr>
        <w:rFonts w:hint="eastAsia"/>
      </w:rPr>
    </w:lvl>
    <w:lvl w:ilvl="8">
      <w:start w:val="1"/>
      <w:numFmt w:val="lowerRoman"/>
      <w:lvlText w:val="%9."/>
      <w:lvlJc w:val="right"/>
      <w:pPr>
        <w:tabs>
          <w:tab w:val="num" w:pos="4201"/>
        </w:tabs>
        <w:ind w:left="4201" w:hanging="420"/>
      </w:pPr>
      <w:rPr>
        <w:rFonts w:hint="eastAsia"/>
      </w:rPr>
    </w:lvl>
  </w:abstractNum>
  <w:abstractNum w:abstractNumId="5">
    <w:nsid w:val="499476AE"/>
    <w:multiLevelType w:val="multilevel"/>
    <w:tmpl w:val="499476AE"/>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abstractNumId w:val="1"/>
  </w:num>
  <w:num w:numId="2">
    <w:abstractNumId w:val="2"/>
  </w:num>
  <w:num w:numId="3">
    <w:abstractNumId w:val="5"/>
  </w:num>
  <w:num w:numId="4">
    <w:abstractNumId w:val="3"/>
  </w:num>
  <w:num w:numId="5">
    <w:abstractNumId w:val="2"/>
  </w:num>
  <w:num w:numId="6">
    <w:abstractNumId w:val="0"/>
  </w:num>
  <w:num w:numId="7">
    <w:abstractNumId w:val="2"/>
  </w:num>
  <w:num w:numId="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stylePaneFormatFilter w:val="3F01"/>
  <w:defaultTabStop w:val="420"/>
  <w:drawingGridVerticalSpacing w:val="156"/>
  <w:displayHorizontalDrawingGridEvery w:val="0"/>
  <w:displayVerticalDrawingGridEvery w:val="2"/>
  <w:characterSpacingControl w:val="compressPunctuation"/>
  <w:hdrShapeDefaults>
    <o:shapedefaults v:ext="edit" spidmax="819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585E0A"/>
    <w:rsid w:val="0001178E"/>
    <w:rsid w:val="00035873"/>
    <w:rsid w:val="00046B21"/>
    <w:rsid w:val="000544E6"/>
    <w:rsid w:val="0006103F"/>
    <w:rsid w:val="00080257"/>
    <w:rsid w:val="00080FE4"/>
    <w:rsid w:val="00084436"/>
    <w:rsid w:val="000A1D13"/>
    <w:rsid w:val="000C4F5F"/>
    <w:rsid w:val="000C611C"/>
    <w:rsid w:val="000D2041"/>
    <w:rsid w:val="000E0F37"/>
    <w:rsid w:val="000E6409"/>
    <w:rsid w:val="000F3625"/>
    <w:rsid w:val="00102883"/>
    <w:rsid w:val="00110BF7"/>
    <w:rsid w:val="00116833"/>
    <w:rsid w:val="00125D09"/>
    <w:rsid w:val="0012677A"/>
    <w:rsid w:val="00130A17"/>
    <w:rsid w:val="00136026"/>
    <w:rsid w:val="00137F6C"/>
    <w:rsid w:val="001401B9"/>
    <w:rsid w:val="00155CCB"/>
    <w:rsid w:val="00165BA3"/>
    <w:rsid w:val="00175BCA"/>
    <w:rsid w:val="0017710F"/>
    <w:rsid w:val="0018373F"/>
    <w:rsid w:val="0018665D"/>
    <w:rsid w:val="00187996"/>
    <w:rsid w:val="001A0A40"/>
    <w:rsid w:val="001A44D4"/>
    <w:rsid w:val="001A5D00"/>
    <w:rsid w:val="001B5DE3"/>
    <w:rsid w:val="001C0B26"/>
    <w:rsid w:val="001C12EB"/>
    <w:rsid w:val="001D400D"/>
    <w:rsid w:val="001D5165"/>
    <w:rsid w:val="001D5F57"/>
    <w:rsid w:val="001D77EA"/>
    <w:rsid w:val="001F6593"/>
    <w:rsid w:val="00203E6D"/>
    <w:rsid w:val="00210C8C"/>
    <w:rsid w:val="002138BC"/>
    <w:rsid w:val="00217860"/>
    <w:rsid w:val="002179ED"/>
    <w:rsid w:val="002222B7"/>
    <w:rsid w:val="00226C3F"/>
    <w:rsid w:val="002419C5"/>
    <w:rsid w:val="00243E42"/>
    <w:rsid w:val="002567BB"/>
    <w:rsid w:val="00277373"/>
    <w:rsid w:val="00291430"/>
    <w:rsid w:val="002A7FE6"/>
    <w:rsid w:val="002D41AA"/>
    <w:rsid w:val="002D543B"/>
    <w:rsid w:val="002D5F85"/>
    <w:rsid w:val="002D7DE8"/>
    <w:rsid w:val="00303EF3"/>
    <w:rsid w:val="00311570"/>
    <w:rsid w:val="003120A4"/>
    <w:rsid w:val="00314677"/>
    <w:rsid w:val="00316021"/>
    <w:rsid w:val="00322EC1"/>
    <w:rsid w:val="003304E0"/>
    <w:rsid w:val="00331A3A"/>
    <w:rsid w:val="00334672"/>
    <w:rsid w:val="003411A2"/>
    <w:rsid w:val="003527F6"/>
    <w:rsid w:val="00355440"/>
    <w:rsid w:val="00387178"/>
    <w:rsid w:val="0039003F"/>
    <w:rsid w:val="00396EA7"/>
    <w:rsid w:val="003A5F5E"/>
    <w:rsid w:val="003B25F7"/>
    <w:rsid w:val="003C17DC"/>
    <w:rsid w:val="003C3FAA"/>
    <w:rsid w:val="003D6B02"/>
    <w:rsid w:val="003E0019"/>
    <w:rsid w:val="003E0B70"/>
    <w:rsid w:val="003E3C13"/>
    <w:rsid w:val="003F26EC"/>
    <w:rsid w:val="003F3D4A"/>
    <w:rsid w:val="0041379B"/>
    <w:rsid w:val="00416000"/>
    <w:rsid w:val="00435F19"/>
    <w:rsid w:val="004378BF"/>
    <w:rsid w:val="00443B7D"/>
    <w:rsid w:val="004648B1"/>
    <w:rsid w:val="0047213E"/>
    <w:rsid w:val="00482A0D"/>
    <w:rsid w:val="004854BD"/>
    <w:rsid w:val="00492486"/>
    <w:rsid w:val="00494AA8"/>
    <w:rsid w:val="004A3046"/>
    <w:rsid w:val="004B52BC"/>
    <w:rsid w:val="004C7A4C"/>
    <w:rsid w:val="004D11FE"/>
    <w:rsid w:val="004E4D28"/>
    <w:rsid w:val="004F1A06"/>
    <w:rsid w:val="004F5056"/>
    <w:rsid w:val="004F7D89"/>
    <w:rsid w:val="00500A6C"/>
    <w:rsid w:val="00502BC4"/>
    <w:rsid w:val="0051159E"/>
    <w:rsid w:val="00511BA5"/>
    <w:rsid w:val="00512CBE"/>
    <w:rsid w:val="0051799F"/>
    <w:rsid w:val="00523770"/>
    <w:rsid w:val="00525FF1"/>
    <w:rsid w:val="0053209C"/>
    <w:rsid w:val="005450AE"/>
    <w:rsid w:val="005779D8"/>
    <w:rsid w:val="00585E0A"/>
    <w:rsid w:val="00587E1E"/>
    <w:rsid w:val="005A0EDD"/>
    <w:rsid w:val="005A3761"/>
    <w:rsid w:val="005A4F4A"/>
    <w:rsid w:val="005B4DA9"/>
    <w:rsid w:val="005B4F4E"/>
    <w:rsid w:val="005C014F"/>
    <w:rsid w:val="005C0722"/>
    <w:rsid w:val="005C16A0"/>
    <w:rsid w:val="005C69C2"/>
    <w:rsid w:val="005E06BC"/>
    <w:rsid w:val="00603BE4"/>
    <w:rsid w:val="00604786"/>
    <w:rsid w:val="006125D1"/>
    <w:rsid w:val="00620589"/>
    <w:rsid w:val="0062659C"/>
    <w:rsid w:val="00656683"/>
    <w:rsid w:val="0067134D"/>
    <w:rsid w:val="00671F82"/>
    <w:rsid w:val="006721DC"/>
    <w:rsid w:val="006743C4"/>
    <w:rsid w:val="00677FCE"/>
    <w:rsid w:val="00692DB2"/>
    <w:rsid w:val="006A7422"/>
    <w:rsid w:val="006B0722"/>
    <w:rsid w:val="006B1BCB"/>
    <w:rsid w:val="006B2047"/>
    <w:rsid w:val="006B4597"/>
    <w:rsid w:val="006D0EBE"/>
    <w:rsid w:val="006D665C"/>
    <w:rsid w:val="006D6C60"/>
    <w:rsid w:val="006E0687"/>
    <w:rsid w:val="006E652B"/>
    <w:rsid w:val="007067B6"/>
    <w:rsid w:val="007169DE"/>
    <w:rsid w:val="007204D3"/>
    <w:rsid w:val="007323D0"/>
    <w:rsid w:val="00735E3D"/>
    <w:rsid w:val="00736309"/>
    <w:rsid w:val="00750822"/>
    <w:rsid w:val="00751667"/>
    <w:rsid w:val="00752257"/>
    <w:rsid w:val="0075478C"/>
    <w:rsid w:val="007556B9"/>
    <w:rsid w:val="00763D32"/>
    <w:rsid w:val="007A57C6"/>
    <w:rsid w:val="007B0BC5"/>
    <w:rsid w:val="007E0281"/>
    <w:rsid w:val="007E069C"/>
    <w:rsid w:val="007E5326"/>
    <w:rsid w:val="007E594A"/>
    <w:rsid w:val="007F05BF"/>
    <w:rsid w:val="007F3809"/>
    <w:rsid w:val="007F5742"/>
    <w:rsid w:val="00811391"/>
    <w:rsid w:val="00815A5E"/>
    <w:rsid w:val="0082350A"/>
    <w:rsid w:val="0083630D"/>
    <w:rsid w:val="0084199B"/>
    <w:rsid w:val="008521F3"/>
    <w:rsid w:val="00854E52"/>
    <w:rsid w:val="00855C8B"/>
    <w:rsid w:val="008562D6"/>
    <w:rsid w:val="00863A42"/>
    <w:rsid w:val="00865C54"/>
    <w:rsid w:val="008A7F07"/>
    <w:rsid w:val="008C2160"/>
    <w:rsid w:val="008C2853"/>
    <w:rsid w:val="008C3D2D"/>
    <w:rsid w:val="008C7007"/>
    <w:rsid w:val="008D5083"/>
    <w:rsid w:val="008E58BA"/>
    <w:rsid w:val="008F04C4"/>
    <w:rsid w:val="008F52B9"/>
    <w:rsid w:val="00900D5B"/>
    <w:rsid w:val="0090176B"/>
    <w:rsid w:val="00902B01"/>
    <w:rsid w:val="0091235D"/>
    <w:rsid w:val="00932766"/>
    <w:rsid w:val="009366E7"/>
    <w:rsid w:val="00937513"/>
    <w:rsid w:val="00937FAB"/>
    <w:rsid w:val="0094221F"/>
    <w:rsid w:val="00947955"/>
    <w:rsid w:val="00952D15"/>
    <w:rsid w:val="00954D99"/>
    <w:rsid w:val="009628D3"/>
    <w:rsid w:val="0097367F"/>
    <w:rsid w:val="00983772"/>
    <w:rsid w:val="0098557C"/>
    <w:rsid w:val="009A1DEB"/>
    <w:rsid w:val="009A28D5"/>
    <w:rsid w:val="009A3AED"/>
    <w:rsid w:val="009B5A16"/>
    <w:rsid w:val="009C0C49"/>
    <w:rsid w:val="009C447B"/>
    <w:rsid w:val="009C5851"/>
    <w:rsid w:val="009D0DC7"/>
    <w:rsid w:val="009E6DF9"/>
    <w:rsid w:val="00A017E4"/>
    <w:rsid w:val="00A0730F"/>
    <w:rsid w:val="00A1778D"/>
    <w:rsid w:val="00A22E22"/>
    <w:rsid w:val="00A27A54"/>
    <w:rsid w:val="00A318E4"/>
    <w:rsid w:val="00A3576F"/>
    <w:rsid w:val="00A42DA7"/>
    <w:rsid w:val="00A46492"/>
    <w:rsid w:val="00A54C02"/>
    <w:rsid w:val="00A6093F"/>
    <w:rsid w:val="00A631A4"/>
    <w:rsid w:val="00A659E0"/>
    <w:rsid w:val="00A7155B"/>
    <w:rsid w:val="00A75736"/>
    <w:rsid w:val="00A76664"/>
    <w:rsid w:val="00A803BF"/>
    <w:rsid w:val="00AD6D07"/>
    <w:rsid w:val="00AD6E46"/>
    <w:rsid w:val="00AD773D"/>
    <w:rsid w:val="00AF3C74"/>
    <w:rsid w:val="00B10785"/>
    <w:rsid w:val="00B20C83"/>
    <w:rsid w:val="00B55EC2"/>
    <w:rsid w:val="00B57040"/>
    <w:rsid w:val="00B6353A"/>
    <w:rsid w:val="00B64396"/>
    <w:rsid w:val="00B72751"/>
    <w:rsid w:val="00B73F7B"/>
    <w:rsid w:val="00B75140"/>
    <w:rsid w:val="00B76139"/>
    <w:rsid w:val="00B86EC0"/>
    <w:rsid w:val="00BB45ED"/>
    <w:rsid w:val="00BB52FA"/>
    <w:rsid w:val="00BB74ED"/>
    <w:rsid w:val="00BC3D2E"/>
    <w:rsid w:val="00BD0EB1"/>
    <w:rsid w:val="00BD352B"/>
    <w:rsid w:val="00BE0294"/>
    <w:rsid w:val="00BE3F60"/>
    <w:rsid w:val="00BE7E6D"/>
    <w:rsid w:val="00BF53F0"/>
    <w:rsid w:val="00BF5807"/>
    <w:rsid w:val="00BF5E70"/>
    <w:rsid w:val="00BF6D94"/>
    <w:rsid w:val="00C15AEF"/>
    <w:rsid w:val="00C25F89"/>
    <w:rsid w:val="00C268B2"/>
    <w:rsid w:val="00C279AB"/>
    <w:rsid w:val="00C3283B"/>
    <w:rsid w:val="00C352FC"/>
    <w:rsid w:val="00C42565"/>
    <w:rsid w:val="00C90602"/>
    <w:rsid w:val="00C92AAB"/>
    <w:rsid w:val="00CA2D8D"/>
    <w:rsid w:val="00CA30A5"/>
    <w:rsid w:val="00CA5EAD"/>
    <w:rsid w:val="00CD7E48"/>
    <w:rsid w:val="00CE1665"/>
    <w:rsid w:val="00CE1FE1"/>
    <w:rsid w:val="00CE20A0"/>
    <w:rsid w:val="00CE494F"/>
    <w:rsid w:val="00D12008"/>
    <w:rsid w:val="00D12B37"/>
    <w:rsid w:val="00D31765"/>
    <w:rsid w:val="00D33474"/>
    <w:rsid w:val="00D36761"/>
    <w:rsid w:val="00D42213"/>
    <w:rsid w:val="00D610BA"/>
    <w:rsid w:val="00D6465D"/>
    <w:rsid w:val="00D70459"/>
    <w:rsid w:val="00D71939"/>
    <w:rsid w:val="00D73BFF"/>
    <w:rsid w:val="00D75448"/>
    <w:rsid w:val="00D81C8E"/>
    <w:rsid w:val="00D833B9"/>
    <w:rsid w:val="00D83F0F"/>
    <w:rsid w:val="00D93CE6"/>
    <w:rsid w:val="00D9763E"/>
    <w:rsid w:val="00D97C2B"/>
    <w:rsid w:val="00DA46B0"/>
    <w:rsid w:val="00DC38DD"/>
    <w:rsid w:val="00DC7402"/>
    <w:rsid w:val="00DD0065"/>
    <w:rsid w:val="00DD6CAB"/>
    <w:rsid w:val="00DF2D7C"/>
    <w:rsid w:val="00E06885"/>
    <w:rsid w:val="00E14F2B"/>
    <w:rsid w:val="00E37F6A"/>
    <w:rsid w:val="00E54325"/>
    <w:rsid w:val="00E553A0"/>
    <w:rsid w:val="00E57113"/>
    <w:rsid w:val="00E60220"/>
    <w:rsid w:val="00E76DAF"/>
    <w:rsid w:val="00E9372C"/>
    <w:rsid w:val="00EB2AD9"/>
    <w:rsid w:val="00EE07BF"/>
    <w:rsid w:val="00EF1A5B"/>
    <w:rsid w:val="00EF4DA3"/>
    <w:rsid w:val="00F3066E"/>
    <w:rsid w:val="00F344D4"/>
    <w:rsid w:val="00F3522E"/>
    <w:rsid w:val="00F352D1"/>
    <w:rsid w:val="00F431A6"/>
    <w:rsid w:val="00F4602E"/>
    <w:rsid w:val="00F650E9"/>
    <w:rsid w:val="00F83F3D"/>
    <w:rsid w:val="00F93769"/>
    <w:rsid w:val="00F96C4B"/>
    <w:rsid w:val="00FB6723"/>
    <w:rsid w:val="00FE19B0"/>
    <w:rsid w:val="00FE7868"/>
    <w:rsid w:val="00FF1D2F"/>
    <w:rsid w:val="00FF607D"/>
    <w:rsid w:val="681F5FF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semiHidden="0" w:uiPriority="9"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Hyperlink" w:uiPriority="99"/>
    <w:lsdException w:name="Strong" w:semiHidden="0" w:unhideWhenUsed="0" w:qFormat="1"/>
    <w:lsdException w:name="Emphasis" w:semiHidden="0" w:uiPriority="20" w:unhideWhenUsed="0" w:qFormat="1"/>
    <w:lsdException w:name="HTML Top of Form" w:uiPriority="99"/>
    <w:lsdException w:name="HTML Bottom of Form" w:uiPriority="99"/>
    <w:lsdException w:name="No List" w:uiPriority="99"/>
    <w:lsdException w:name="Outline List 1" w:uiPriority="99"/>
    <w:lsdException w:name="Outline List 2" w:uiPriority="99"/>
    <w:lsdException w:name="Outline List 3" w:uiPriority="99"/>
    <w:lsdException w:name="Table Grid" w:semiHidden="0" w:unhideWhenUsed="0"/>
    <w:lsdException w:name="Placeholder Text" w:uiPriority="99"/>
    <w:lsdException w:name="No Spacing" w:semiHidden="0" w:uiPriority="99"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99" w:unhideWhenUsed="0" w:qFormat="1"/>
    <w:lsdException w:name="Quote" w:semiHidden="0" w:uiPriority="99" w:unhideWhenUsed="0" w:qFormat="1"/>
    <w:lsdException w:name="Intense Quote" w:semiHidden="0" w:uiPriority="99"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A318E4"/>
    <w:pPr>
      <w:widowControl w:val="0"/>
      <w:jc w:val="both"/>
    </w:pPr>
    <w:rPr>
      <w:kern w:val="2"/>
      <w:sz w:val="21"/>
      <w:szCs w:val="24"/>
    </w:rPr>
  </w:style>
  <w:style w:type="paragraph" w:styleId="3">
    <w:name w:val="heading 3"/>
    <w:basedOn w:val="a0"/>
    <w:link w:val="3Char"/>
    <w:uiPriority w:val="9"/>
    <w:qFormat/>
    <w:rsid w:val="00A318E4"/>
    <w:pPr>
      <w:widowControl/>
      <w:spacing w:before="100" w:beforeAutospacing="1" w:after="100" w:afterAutospacing="1"/>
      <w:jc w:val="left"/>
      <w:outlineLvl w:val="2"/>
    </w:pPr>
    <w:rPr>
      <w:rFonts w:ascii="宋体" w:hAnsi="宋体"/>
      <w:b/>
      <w:bCs/>
      <w:kern w:val="0"/>
      <w:sz w:val="27"/>
      <w:szCs w:val="27"/>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Strong"/>
    <w:qFormat/>
    <w:rsid w:val="00A318E4"/>
    <w:rPr>
      <w:b/>
      <w:bCs/>
    </w:rPr>
  </w:style>
  <w:style w:type="character" w:styleId="a5">
    <w:name w:val="Emphasis"/>
    <w:uiPriority w:val="20"/>
    <w:qFormat/>
    <w:rsid w:val="00A318E4"/>
    <w:rPr>
      <w:i/>
      <w:iCs/>
    </w:rPr>
  </w:style>
  <w:style w:type="character" w:styleId="a6">
    <w:name w:val="Hyperlink"/>
    <w:uiPriority w:val="99"/>
    <w:unhideWhenUsed/>
    <w:rsid w:val="00A318E4"/>
    <w:rPr>
      <w:color w:val="0000FF"/>
      <w:u w:val="single"/>
    </w:rPr>
  </w:style>
  <w:style w:type="character" w:customStyle="1" w:styleId="Char">
    <w:name w:val="页眉 Char"/>
    <w:link w:val="a7"/>
    <w:rsid w:val="00A318E4"/>
    <w:rPr>
      <w:kern w:val="2"/>
      <w:sz w:val="18"/>
      <w:szCs w:val="18"/>
    </w:rPr>
  </w:style>
  <w:style w:type="character" w:customStyle="1" w:styleId="Char0">
    <w:name w:val="段 Char"/>
    <w:link w:val="a8"/>
    <w:qFormat/>
    <w:rsid w:val="00A318E4"/>
    <w:rPr>
      <w:rFonts w:ascii="宋体"/>
      <w:sz w:val="21"/>
      <w:lang w:val="en-US" w:eastAsia="zh-CN" w:bidi="ar-SA"/>
    </w:rPr>
  </w:style>
  <w:style w:type="character" w:customStyle="1" w:styleId="Char1">
    <w:name w:val="页脚 Char"/>
    <w:link w:val="a9"/>
    <w:rsid w:val="00A318E4"/>
    <w:rPr>
      <w:kern w:val="2"/>
      <w:sz w:val="18"/>
      <w:szCs w:val="18"/>
    </w:rPr>
  </w:style>
  <w:style w:type="character" w:customStyle="1" w:styleId="3Char">
    <w:name w:val="标题 3 Char"/>
    <w:link w:val="3"/>
    <w:uiPriority w:val="9"/>
    <w:rsid w:val="00A318E4"/>
    <w:rPr>
      <w:rFonts w:ascii="宋体" w:hAnsi="宋体" w:cs="宋体"/>
      <w:b/>
      <w:bCs/>
      <w:sz w:val="27"/>
      <w:szCs w:val="27"/>
    </w:rPr>
  </w:style>
  <w:style w:type="paragraph" w:styleId="aa">
    <w:name w:val="Body Text"/>
    <w:basedOn w:val="a0"/>
    <w:rsid w:val="00A318E4"/>
    <w:pPr>
      <w:jc w:val="center"/>
    </w:pPr>
    <w:rPr>
      <w:sz w:val="84"/>
      <w:szCs w:val="20"/>
    </w:rPr>
  </w:style>
  <w:style w:type="paragraph" w:styleId="ab">
    <w:name w:val="annotation text"/>
    <w:basedOn w:val="a0"/>
    <w:link w:val="Char2"/>
    <w:rsid w:val="00A318E4"/>
    <w:pPr>
      <w:jc w:val="left"/>
    </w:pPr>
  </w:style>
  <w:style w:type="paragraph" w:styleId="ac">
    <w:name w:val="Normal Indent"/>
    <w:basedOn w:val="a0"/>
    <w:rsid w:val="00A318E4"/>
    <w:pPr>
      <w:ind w:firstLineChars="200" w:firstLine="420"/>
    </w:pPr>
  </w:style>
  <w:style w:type="paragraph" w:styleId="a9">
    <w:name w:val="footer"/>
    <w:basedOn w:val="a0"/>
    <w:link w:val="Char1"/>
    <w:rsid w:val="00A318E4"/>
    <w:pPr>
      <w:tabs>
        <w:tab w:val="center" w:pos="4153"/>
        <w:tab w:val="right" w:pos="8306"/>
      </w:tabs>
      <w:snapToGrid w:val="0"/>
      <w:jc w:val="left"/>
    </w:pPr>
    <w:rPr>
      <w:sz w:val="18"/>
      <w:szCs w:val="18"/>
    </w:rPr>
  </w:style>
  <w:style w:type="paragraph" w:styleId="a7">
    <w:name w:val="header"/>
    <w:basedOn w:val="a0"/>
    <w:link w:val="Char"/>
    <w:rsid w:val="00A318E4"/>
    <w:pPr>
      <w:pBdr>
        <w:bottom w:val="single" w:sz="6" w:space="1" w:color="auto"/>
      </w:pBdr>
      <w:tabs>
        <w:tab w:val="center" w:pos="4153"/>
        <w:tab w:val="right" w:pos="8306"/>
      </w:tabs>
      <w:snapToGrid w:val="0"/>
      <w:jc w:val="center"/>
    </w:pPr>
    <w:rPr>
      <w:sz w:val="18"/>
      <w:szCs w:val="18"/>
    </w:rPr>
  </w:style>
  <w:style w:type="paragraph" w:customStyle="1" w:styleId="ad">
    <w:name w:val="五级条标题"/>
    <w:basedOn w:val="ae"/>
    <w:next w:val="a8"/>
    <w:rsid w:val="00A318E4"/>
    <w:pPr>
      <w:numPr>
        <w:ilvl w:val="0"/>
      </w:numPr>
      <w:ind w:left="2205"/>
      <w:outlineLvl w:val="6"/>
    </w:pPr>
  </w:style>
  <w:style w:type="paragraph" w:customStyle="1" w:styleId="CharCharCharCharCharCharCharCharChar">
    <w:name w:val="Char Char Char Char Char Char Char Char Char"/>
    <w:basedOn w:val="a0"/>
    <w:next w:val="ac"/>
    <w:rsid w:val="00A318E4"/>
    <w:pPr>
      <w:ind w:firstLine="420"/>
    </w:pPr>
    <w:rPr>
      <w:szCs w:val="20"/>
    </w:rPr>
  </w:style>
  <w:style w:type="paragraph" w:customStyle="1" w:styleId="a">
    <w:name w:val="列项——（一级）"/>
    <w:rsid w:val="00A318E4"/>
    <w:pPr>
      <w:widowControl w:val="0"/>
      <w:numPr>
        <w:numId w:val="2"/>
      </w:numPr>
      <w:jc w:val="both"/>
    </w:pPr>
    <w:rPr>
      <w:rFonts w:ascii="宋体"/>
      <w:sz w:val="21"/>
    </w:rPr>
  </w:style>
  <w:style w:type="paragraph" w:customStyle="1" w:styleId="a8">
    <w:name w:val="段"/>
    <w:link w:val="Char0"/>
    <w:qFormat/>
    <w:rsid w:val="00A318E4"/>
    <w:pPr>
      <w:autoSpaceDE w:val="0"/>
      <w:autoSpaceDN w:val="0"/>
      <w:ind w:firstLineChars="200" w:firstLine="200"/>
      <w:jc w:val="both"/>
    </w:pPr>
    <w:rPr>
      <w:rFonts w:ascii="宋体"/>
      <w:sz w:val="21"/>
    </w:rPr>
  </w:style>
  <w:style w:type="paragraph" w:customStyle="1" w:styleId="af">
    <w:name w:val="列项◆（三级）"/>
    <w:basedOn w:val="a0"/>
    <w:qFormat/>
    <w:rsid w:val="00A318E4"/>
    <w:pPr>
      <w:tabs>
        <w:tab w:val="left" w:pos="1678"/>
      </w:tabs>
      <w:ind w:left="1678" w:hanging="414"/>
    </w:pPr>
    <w:rPr>
      <w:rFonts w:ascii="宋体"/>
      <w:szCs w:val="21"/>
    </w:rPr>
  </w:style>
  <w:style w:type="paragraph" w:customStyle="1" w:styleId="af0">
    <w:name w:val="封面标准名称"/>
    <w:rsid w:val="00A318E4"/>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1">
    <w:name w:val="一级条标题"/>
    <w:next w:val="a8"/>
    <w:rsid w:val="00A318E4"/>
    <w:pPr>
      <w:spacing w:beforeLines="50" w:afterLines="50"/>
      <w:ind w:left="2205"/>
      <w:outlineLvl w:val="2"/>
    </w:pPr>
    <w:rPr>
      <w:rFonts w:ascii="黑体" w:eastAsia="黑体"/>
      <w:sz w:val="21"/>
      <w:szCs w:val="21"/>
    </w:rPr>
  </w:style>
  <w:style w:type="paragraph" w:customStyle="1" w:styleId="af2">
    <w:name w:val="章标题"/>
    <w:next w:val="a8"/>
    <w:rsid w:val="00A318E4"/>
    <w:pPr>
      <w:spacing w:beforeLines="100" w:afterLines="100"/>
      <w:ind w:left="735"/>
      <w:jc w:val="both"/>
      <w:outlineLvl w:val="1"/>
    </w:pPr>
    <w:rPr>
      <w:rFonts w:ascii="黑体" w:eastAsia="黑体"/>
      <w:sz w:val="21"/>
    </w:rPr>
  </w:style>
  <w:style w:type="paragraph" w:customStyle="1" w:styleId="af3">
    <w:name w:val="二级条标题"/>
    <w:basedOn w:val="af1"/>
    <w:next w:val="a8"/>
    <w:rsid w:val="00A318E4"/>
    <w:pPr>
      <w:numPr>
        <w:ilvl w:val="2"/>
      </w:numPr>
      <w:spacing w:before="50" w:after="50"/>
      <w:ind w:left="2205"/>
      <w:outlineLvl w:val="3"/>
    </w:pPr>
  </w:style>
  <w:style w:type="paragraph" w:customStyle="1" w:styleId="af4">
    <w:name w:val="列项●（二级）"/>
    <w:rsid w:val="00A318E4"/>
    <w:pPr>
      <w:tabs>
        <w:tab w:val="left" w:pos="760"/>
        <w:tab w:val="left" w:pos="840"/>
      </w:tabs>
      <w:ind w:left="1264" w:hanging="413"/>
      <w:jc w:val="both"/>
    </w:pPr>
    <w:rPr>
      <w:rFonts w:ascii="宋体"/>
      <w:sz w:val="21"/>
    </w:rPr>
  </w:style>
  <w:style w:type="paragraph" w:customStyle="1" w:styleId="ae">
    <w:name w:val="四级条标题"/>
    <w:basedOn w:val="af5"/>
    <w:next w:val="a8"/>
    <w:rsid w:val="00A318E4"/>
    <w:pPr>
      <w:numPr>
        <w:ilvl w:val="4"/>
      </w:numPr>
      <w:ind w:left="2205"/>
      <w:outlineLvl w:val="5"/>
    </w:pPr>
  </w:style>
  <w:style w:type="paragraph" w:customStyle="1" w:styleId="af5">
    <w:name w:val="三级条标题"/>
    <w:basedOn w:val="af3"/>
    <w:next w:val="a8"/>
    <w:rsid w:val="00A318E4"/>
    <w:pPr>
      <w:numPr>
        <w:ilvl w:val="3"/>
      </w:numPr>
      <w:ind w:left="2205"/>
      <w:outlineLvl w:val="4"/>
    </w:pPr>
  </w:style>
  <w:style w:type="paragraph" w:styleId="af6">
    <w:name w:val="Balloon Text"/>
    <w:basedOn w:val="a0"/>
    <w:link w:val="Char3"/>
    <w:rsid w:val="005B4F4E"/>
    <w:rPr>
      <w:sz w:val="18"/>
      <w:szCs w:val="18"/>
    </w:rPr>
  </w:style>
  <w:style w:type="character" w:customStyle="1" w:styleId="Char3">
    <w:name w:val="批注框文本 Char"/>
    <w:link w:val="af6"/>
    <w:rsid w:val="005B4F4E"/>
    <w:rPr>
      <w:kern w:val="2"/>
      <w:sz w:val="18"/>
      <w:szCs w:val="18"/>
    </w:rPr>
  </w:style>
  <w:style w:type="character" w:styleId="af7">
    <w:name w:val="annotation reference"/>
    <w:rsid w:val="005B4F4E"/>
    <w:rPr>
      <w:sz w:val="21"/>
      <w:szCs w:val="21"/>
    </w:rPr>
  </w:style>
  <w:style w:type="paragraph" w:styleId="af8">
    <w:name w:val="annotation subject"/>
    <w:basedOn w:val="ab"/>
    <w:next w:val="ab"/>
    <w:link w:val="Char4"/>
    <w:rsid w:val="005B4F4E"/>
    <w:rPr>
      <w:b/>
      <w:bCs/>
    </w:rPr>
  </w:style>
  <w:style w:type="character" w:customStyle="1" w:styleId="Char2">
    <w:name w:val="批注文字 Char"/>
    <w:link w:val="ab"/>
    <w:rsid w:val="005B4F4E"/>
    <w:rPr>
      <w:kern w:val="2"/>
      <w:sz w:val="21"/>
      <w:szCs w:val="24"/>
    </w:rPr>
  </w:style>
  <w:style w:type="character" w:customStyle="1" w:styleId="Char4">
    <w:name w:val="批注主题 Char"/>
    <w:link w:val="af8"/>
    <w:rsid w:val="005B4F4E"/>
    <w:rPr>
      <w:b/>
      <w:bCs/>
      <w:kern w:val="2"/>
      <w:sz w:val="21"/>
      <w:szCs w:val="24"/>
    </w:rPr>
  </w:style>
  <w:style w:type="paragraph" w:customStyle="1" w:styleId="af9">
    <w:name w:val="字母编号列项（一级）"/>
    <w:rsid w:val="00080FE4"/>
    <w:pPr>
      <w:tabs>
        <w:tab w:val="left" w:pos="839"/>
      </w:tabs>
      <w:ind w:left="1117" w:hanging="408"/>
      <w:jc w:val="both"/>
    </w:pPr>
    <w:rPr>
      <w:rFonts w:ascii="宋体"/>
      <w:sz w:val="21"/>
    </w:rPr>
  </w:style>
</w:styles>
</file>

<file path=word/webSettings.xml><?xml version="1.0" encoding="utf-8"?>
<w:webSettings xmlns:r="http://schemas.openxmlformats.org/officeDocument/2006/relationships" xmlns:w="http://schemas.openxmlformats.org/wordprocessingml/2006/main">
  <w:encoding w:val="x-cp20936"/>
  <w:optimizeForBrowser/>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microsoft.com/office/2006/relationships/keyMapCustomizations" Target="customizations.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4</Pages>
  <Words>335</Words>
  <Characters>1916</Characters>
  <Application>Microsoft Office Word</Application>
  <DocSecurity>0</DocSecurity>
  <Lines>15</Lines>
  <Paragraphs>4</Paragraphs>
  <ScaleCrop>false</ScaleCrop>
  <Company>Lenovo</Company>
  <LinksUpToDate>false</LinksUpToDate>
  <CharactersWithSpaces>2247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《牙科学  口腔灯》行业标准起草编制说明</dc:title>
  <dc:creator>wuym</dc:creator>
  <cp:lastModifiedBy>BZK</cp:lastModifiedBy>
  <cp:revision>5</cp:revision>
  <cp:lastPrinted>2019-10-29T08:21:00Z</cp:lastPrinted>
  <dcterms:created xsi:type="dcterms:W3CDTF">2021-04-22T01:37:00Z</dcterms:created>
  <dcterms:modified xsi:type="dcterms:W3CDTF">2021-05-08T03:12:00Z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2052-10.1.0.7520</vt:lpwstr>
  </property>
</Properties>
</file>