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napToGrid w:val="0"/>
        <w:spacing w:line="360" w:lineRule="auto"/>
        <w:rPr>
          <w:rFonts w:hint="eastAsia" w:ascii="仿宋_GB2312" w:eastAsia="仿宋_GB2312" w:cs="仿宋_GB2312"/>
          <w:b/>
          <w:bCs/>
          <w:color w:val="000000"/>
          <w:sz w:val="32"/>
          <w:szCs w:val="32"/>
        </w:rPr>
      </w:pPr>
      <w:r>
        <w:rPr>
          <w:rFonts w:hint="eastAsia" w:ascii="仿宋_GB2312" w:eastAsia="仿宋_GB2312" w:cs="仿宋_GB2312"/>
          <w:b/>
          <w:bCs/>
          <w:color w:val="000000"/>
          <w:sz w:val="32"/>
          <w:szCs w:val="32"/>
        </w:rPr>
        <w:t xml:space="preserve"> 《最终灭菌医疗器械包装</w:t>
      </w:r>
    </w:p>
    <w:p>
      <w:pPr>
        <w:pStyle w:val="6"/>
        <w:snapToGrid w:val="0"/>
        <w:spacing w:line="360" w:lineRule="auto"/>
        <w:rPr>
          <w:rFonts w:ascii="仿宋_GB2312" w:hAnsi="宋体" w:eastAsia="仿宋_GB2312"/>
          <w:b/>
          <w:bCs/>
          <w:color w:val="000000"/>
          <w:sz w:val="32"/>
          <w:szCs w:val="32"/>
        </w:rPr>
      </w:pPr>
      <w:r>
        <w:rPr>
          <w:rFonts w:hint="eastAsia" w:ascii="仿宋_GB2312" w:eastAsia="仿宋_GB2312" w:cs="仿宋_GB2312"/>
          <w:b/>
          <w:bCs/>
          <w:color w:val="000000"/>
          <w:sz w:val="32"/>
          <w:szCs w:val="32"/>
        </w:rPr>
        <w:t>第1部分：材料、无菌屏障系统和包装系统的要求》</w:t>
      </w:r>
    </w:p>
    <w:p>
      <w:pPr>
        <w:pStyle w:val="6"/>
        <w:snapToGrid w:val="0"/>
        <w:spacing w:line="360" w:lineRule="auto"/>
        <w:rPr>
          <w:rFonts w:ascii="仿宋_GB2312" w:hAnsi="宋体" w:eastAsia="仿宋_GB2312"/>
          <w:b/>
          <w:bCs/>
          <w:color w:val="000000"/>
          <w:sz w:val="32"/>
          <w:szCs w:val="32"/>
        </w:rPr>
      </w:pPr>
      <w:r>
        <w:rPr>
          <w:rFonts w:hint="eastAsia" w:ascii="仿宋_GB2312" w:hAnsi="宋体" w:eastAsia="仿宋_GB2312" w:cs="仿宋_GB2312"/>
          <w:b/>
          <w:bCs/>
          <w:color w:val="000000"/>
          <w:sz w:val="32"/>
          <w:szCs w:val="32"/>
        </w:rPr>
        <w:t>推荐性国家标准编制说明</w:t>
      </w:r>
    </w:p>
    <w:p>
      <w:pPr>
        <w:spacing w:line="400" w:lineRule="exact"/>
        <w:rPr>
          <w:rFonts w:ascii="仿宋_GB2312" w:hAnsi="宋体" w:eastAsia="仿宋_GB2312"/>
          <w:b/>
          <w:bCs/>
          <w:sz w:val="28"/>
          <w:szCs w:val="28"/>
          <w:u w:color="FFFFFF"/>
        </w:rPr>
      </w:pPr>
      <w:r>
        <w:rPr>
          <w:rFonts w:hint="eastAsia" w:ascii="仿宋_GB2312" w:hAnsi="宋体" w:eastAsia="仿宋_GB2312" w:cs="仿宋_GB2312"/>
          <w:b/>
          <w:bCs/>
          <w:sz w:val="28"/>
          <w:szCs w:val="28"/>
          <w:u w:color="FFFFFF"/>
        </w:rPr>
        <w:t>一、任务来源与主要工作过程</w:t>
      </w:r>
    </w:p>
    <w:p>
      <w:pPr>
        <w:autoSpaceDE w:val="0"/>
        <w:autoSpaceDN w:val="0"/>
        <w:adjustRightInd w:val="0"/>
        <w:spacing w:line="460" w:lineRule="exact"/>
        <w:ind w:firstLine="660" w:firstLineChars="236"/>
        <w:jc w:val="left"/>
        <w:rPr>
          <w:rFonts w:ascii="仿宋_GB2312" w:hAnsi="宋体" w:eastAsia="仿宋_GB2312"/>
          <w:sz w:val="28"/>
          <w:szCs w:val="28"/>
          <w:u w:color="FFFFFF"/>
        </w:rPr>
      </w:pPr>
      <w:r>
        <w:rPr>
          <w:rFonts w:hint="eastAsia" w:ascii="仿宋_GB2312" w:hAnsi="宋体" w:eastAsia="仿宋_GB2312" w:cs="仿宋_GB2312"/>
          <w:sz w:val="28"/>
          <w:szCs w:val="28"/>
          <w:u w:color="FFFFFF"/>
        </w:rPr>
        <w:t>根据《国家标准化管理委员会关于下达2021年推荐性国家标准计划及相关标准外文版计划的通知》（国标委发</w:t>
      </w:r>
      <w:r>
        <w:rPr>
          <w:rFonts w:ascii="仿宋_GB2312" w:hAnsi="宋体" w:eastAsia="仿宋_GB2312" w:cs="仿宋_GB2312"/>
          <w:sz w:val="28"/>
          <w:szCs w:val="28"/>
          <w:u w:color="FFFFFF"/>
        </w:rPr>
        <w:t>〔2</w:t>
      </w:r>
      <w:r>
        <w:rPr>
          <w:rFonts w:hint="eastAsia" w:ascii="仿宋_GB2312" w:hAnsi="宋体" w:eastAsia="仿宋_GB2312" w:cs="仿宋_GB2312"/>
          <w:sz w:val="28"/>
          <w:szCs w:val="28"/>
          <w:u w:color="FFFFFF"/>
        </w:rPr>
        <w:t>021</w:t>
      </w:r>
      <w:r>
        <w:rPr>
          <w:rFonts w:ascii="仿宋_GB2312" w:hAnsi="宋体" w:eastAsia="仿宋_GB2312" w:cs="仿宋_GB2312"/>
          <w:sz w:val="28"/>
          <w:szCs w:val="28"/>
          <w:u w:color="FFFFFF"/>
        </w:rPr>
        <w:t>〕2</w:t>
      </w:r>
      <w:r>
        <w:rPr>
          <w:rFonts w:hint="eastAsia" w:ascii="仿宋_GB2312" w:hAnsi="宋体" w:eastAsia="仿宋_GB2312" w:cs="仿宋_GB2312"/>
          <w:sz w:val="28"/>
          <w:szCs w:val="28"/>
          <w:u w:color="FFFFFF"/>
        </w:rPr>
        <w:t>8</w:t>
      </w:r>
      <w:r>
        <w:rPr>
          <w:rFonts w:ascii="仿宋_GB2312" w:hAnsi="宋体" w:eastAsia="仿宋_GB2312" w:cs="仿宋_GB2312"/>
          <w:sz w:val="28"/>
          <w:szCs w:val="28"/>
          <w:u w:color="FFFFFF"/>
        </w:rPr>
        <w:t>号</w:t>
      </w:r>
      <w:r>
        <w:rPr>
          <w:rFonts w:hint="eastAsia" w:ascii="仿宋_GB2312" w:hAnsi="宋体" w:eastAsia="仿宋_GB2312" w:cs="仿宋_GB2312"/>
          <w:sz w:val="28"/>
          <w:szCs w:val="28"/>
          <w:u w:color="FFFFFF"/>
        </w:rPr>
        <w:t>），项目编号：（202143</w:t>
      </w:r>
      <w:r>
        <w:rPr>
          <w:rFonts w:hint="eastAsia" w:ascii="仿宋_GB2312" w:hAnsi="宋体" w:eastAsia="仿宋_GB2312" w:cs="仿宋_GB2312"/>
          <w:sz w:val="28"/>
          <w:szCs w:val="28"/>
          <w:u w:color="FFFFFF"/>
          <w:lang w:val="en-US" w:eastAsia="zh-CN"/>
        </w:rPr>
        <w:t>78</w:t>
      </w:r>
      <w:r>
        <w:rPr>
          <w:rFonts w:ascii="仿宋_GB2312" w:hAnsi="宋体" w:eastAsia="仿宋_GB2312" w:cs="仿宋_GB2312"/>
          <w:sz w:val="28"/>
          <w:szCs w:val="28"/>
          <w:u w:color="FFFFFF"/>
        </w:rPr>
        <w:t>-</w:t>
      </w:r>
      <w:r>
        <w:rPr>
          <w:rFonts w:hint="eastAsia" w:ascii="仿宋_GB2312" w:hAnsi="宋体" w:eastAsia="仿宋_GB2312" w:cs="仿宋_GB2312"/>
          <w:sz w:val="28"/>
          <w:szCs w:val="28"/>
          <w:u w:color="FFFFFF"/>
        </w:rPr>
        <w:t>T-464</w:t>
      </w:r>
      <w:r>
        <w:rPr>
          <w:rFonts w:ascii="仿宋_GB2312" w:hAnsi="宋体" w:eastAsia="仿宋_GB2312" w:cs="仿宋_GB2312"/>
          <w:sz w:val="28"/>
          <w:szCs w:val="28"/>
          <w:u w:color="FFFFFF"/>
        </w:rPr>
        <w:t>)</w:t>
      </w:r>
      <w:r>
        <w:rPr>
          <w:rFonts w:hint="eastAsia" w:ascii="仿宋_GB2312" w:hAnsi="宋体" w:eastAsia="仿宋_GB2312" w:cs="仿宋_GB2312"/>
          <w:sz w:val="28"/>
          <w:szCs w:val="28"/>
          <w:u w:color="FFFFFF"/>
        </w:rPr>
        <w:t>，由广东省医疗器械质量监督检验所、上海微创医疗器械（集团）有限公司、上海建中医疗器械包装股份有限公司、安姆科集团毕玛时软包装（苏州）有限公司、杜邦（中国）研发管理有限公司等单位起草制定的《最终灭菌医疗器械包装</w:t>
      </w:r>
      <w:r>
        <w:rPr>
          <w:rFonts w:hint="eastAsia" w:ascii="仿宋_GB2312" w:hAnsi="宋体" w:eastAsia="仿宋_GB2312" w:cs="仿宋_GB2312"/>
          <w:sz w:val="28"/>
          <w:szCs w:val="28"/>
          <w:u w:color="FFFFFF"/>
          <w:lang w:val="en-US" w:eastAsia="zh-CN"/>
        </w:rPr>
        <w:t xml:space="preserve"> </w:t>
      </w:r>
      <w:r>
        <w:rPr>
          <w:rFonts w:hint="eastAsia" w:ascii="仿宋_GB2312" w:hAnsi="宋体" w:eastAsia="仿宋_GB2312" w:cs="仿宋_GB2312"/>
          <w:sz w:val="28"/>
          <w:szCs w:val="28"/>
          <w:u w:color="FFFFFF"/>
        </w:rPr>
        <w:t>第1部分：材料、无菌屏障系统和包装系统的要求》推荐性国家标准，主要起草人有：。。。。</w:t>
      </w:r>
    </w:p>
    <w:p>
      <w:pPr>
        <w:autoSpaceDE w:val="0"/>
        <w:autoSpaceDN w:val="0"/>
        <w:adjustRightInd w:val="0"/>
        <w:spacing w:line="460" w:lineRule="exact"/>
        <w:ind w:firstLine="660" w:firstLineChars="236"/>
        <w:jc w:val="left"/>
        <w:rPr>
          <w:rFonts w:ascii="仿宋_GB2312" w:eastAsia="仿宋_GB2312"/>
          <w:sz w:val="28"/>
          <w:szCs w:val="28"/>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起草工作组按立项计划，于2021年11月形成标准讨论稿。起草小组于2021年11月至2021年12月,</w:t>
      </w:r>
      <w:r>
        <w:rPr>
          <w:rFonts w:hint="eastAsia" w:ascii="仿宋_GB2312" w:hAnsi="宋体" w:eastAsia="仿宋_GB2312" w:cs="仿宋_GB2312"/>
          <w:sz w:val="28"/>
          <w:szCs w:val="28"/>
          <w:u w:color="FFFFFF"/>
          <w:lang w:val="en-US" w:eastAsia="zh-CN"/>
        </w:rPr>
        <w:t>通过“钉钉会议”</w:t>
      </w:r>
      <w:r>
        <w:rPr>
          <w:rFonts w:hint="eastAsia" w:ascii="仿宋_GB2312" w:hAnsi="宋体" w:eastAsia="仿宋_GB2312" w:cs="仿宋_GB2312"/>
          <w:sz w:val="28"/>
          <w:szCs w:val="28"/>
          <w:u w:color="FFFFFF"/>
        </w:rPr>
        <w:t>线上召开会议讨论标准草案，起草小组人员对标准进行了详细介绍，积极听取与会专家委员的意见和建议，对标准中的疑点、难点进行汇总分析，并对标准进行了进一步修订，于2022年1月与相关企业就标准条款的内容和验证要点进行了深入讨论，并对标准进行了进一步的修订，于XXXX年X月X日发出征求意见稿，征求意见期自XXXX年X月X日开始，至XXXX年X月X日截止，共计发出征求意见X份，收回意见X份，其中同意无意见X份，同意并有意见和建议的X份，不同意X份。XXXX年X月X日在X召开标准预审会，起草小组将汇总的征求意见和标准修订情况向与会专家进行了汇报，并结合与会专家的意见和建议，对标准内容进行了进一步的修改和完善，形成标准送审稿，交由全体委员审议。全国消毒技术与设备标准化技术委员会（SAC/TC200）于XXXX年X月X日至X月X日在XXXX召开了标准审定会,经投票一致同意该标准审定通过。会后，起草小组结合审定会专家意见对标准进行了最后的修改，形成报批稿及相关报批材料。</w:t>
      </w:r>
    </w:p>
    <w:p>
      <w:pPr>
        <w:spacing w:line="460" w:lineRule="exact"/>
        <w:jc w:val="left"/>
        <w:rPr>
          <w:rFonts w:ascii="仿宋_GB2312" w:hAnsi="宋体" w:eastAsia="仿宋_GB2312"/>
          <w:b/>
          <w:bCs/>
          <w:sz w:val="28"/>
          <w:szCs w:val="28"/>
        </w:rPr>
      </w:pPr>
      <w:r>
        <w:rPr>
          <w:rFonts w:hint="eastAsia" w:ascii="仿宋_GB2312" w:hAnsi="宋体" w:eastAsia="仿宋_GB2312" w:cs="仿宋_GB2312"/>
          <w:b/>
          <w:bCs/>
          <w:color w:val="000000"/>
          <w:sz w:val="28"/>
          <w:szCs w:val="28"/>
        </w:rPr>
        <w:t>二、</w:t>
      </w:r>
      <w:r>
        <w:rPr>
          <w:rFonts w:hint="eastAsia" w:ascii="仿宋_GB2312" w:hAnsi="宋体" w:eastAsia="仿宋_GB2312" w:cs="仿宋_GB2312"/>
          <w:b/>
          <w:bCs/>
          <w:sz w:val="28"/>
          <w:szCs w:val="28"/>
        </w:rPr>
        <w:t>标准编制原则和确定标准主要内容</w:t>
      </w:r>
    </w:p>
    <w:p>
      <w:pPr>
        <w:spacing w:line="460" w:lineRule="exact"/>
        <w:ind w:firstLine="560" w:firstLineChars="200"/>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的制定在编写格式上符合国家标准</w:t>
      </w:r>
      <w:r>
        <w:rPr>
          <w:rFonts w:ascii="仿宋_GB2312" w:hAnsi="宋体" w:eastAsia="仿宋_GB2312" w:cs="仿宋_GB2312"/>
          <w:sz w:val="28"/>
          <w:szCs w:val="28"/>
          <w:u w:color="FFFFFF"/>
        </w:rPr>
        <w:t>GB/T 1.1-</w:t>
      </w:r>
      <w:r>
        <w:rPr>
          <w:rFonts w:hint="eastAsia" w:ascii="仿宋_GB2312" w:hAnsi="宋体" w:eastAsia="仿宋_GB2312" w:cs="仿宋_GB2312"/>
          <w:sz w:val="28"/>
          <w:szCs w:val="28"/>
          <w:u w:color="FFFFFF"/>
        </w:rPr>
        <w:t>2020《</w:t>
      </w:r>
      <w:r>
        <w:rPr>
          <w:rFonts w:hint="eastAsia" w:ascii="仿宋_GB2312" w:hAnsi="宋体" w:eastAsia="仿宋_GB2312" w:cs="仿宋_GB2312"/>
          <w:sz w:val="28"/>
          <w:szCs w:val="28"/>
        </w:rPr>
        <w:t>标准化工作导则第</w:t>
      </w:r>
      <w:r>
        <w:rPr>
          <w:rFonts w:ascii="仿宋_GB2312" w:hAnsi="宋体" w:eastAsia="仿宋_GB2312" w:cs="仿宋_GB2312"/>
          <w:sz w:val="28"/>
          <w:szCs w:val="28"/>
        </w:rPr>
        <w:t>1</w:t>
      </w:r>
      <w:r>
        <w:rPr>
          <w:rFonts w:hint="eastAsia" w:ascii="仿宋_GB2312" w:hAnsi="宋体" w:eastAsia="仿宋_GB2312" w:cs="仿宋_GB2312"/>
          <w:sz w:val="28"/>
          <w:szCs w:val="28"/>
        </w:rPr>
        <w:t>部分：标准化文件的结构和起草规则</w:t>
      </w:r>
      <w:r>
        <w:rPr>
          <w:rFonts w:hint="eastAsia" w:ascii="仿宋_GB2312" w:hAnsi="宋体" w:eastAsia="仿宋_GB2312" w:cs="仿宋_GB2312"/>
          <w:sz w:val="28"/>
          <w:szCs w:val="28"/>
          <w:u w:color="FFFFFF"/>
        </w:rPr>
        <w:t>》的规定要求。</w:t>
      </w:r>
    </w:p>
    <w:p>
      <w:pPr>
        <w:spacing w:line="460" w:lineRule="exact"/>
        <w:ind w:firstLine="560" w:firstLineChars="200"/>
        <w:jc w:val="left"/>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等同采用了</w:t>
      </w:r>
      <w:r>
        <w:rPr>
          <w:rFonts w:ascii="仿宋_GB2312" w:hAnsi="宋体" w:eastAsia="仿宋_GB2312" w:cs="仿宋_GB2312"/>
          <w:sz w:val="28"/>
          <w:szCs w:val="28"/>
          <w:u w:color="FFFFFF"/>
        </w:rPr>
        <w:t>ISO</w:t>
      </w:r>
      <w:r>
        <w:rPr>
          <w:rFonts w:hint="eastAsia" w:ascii="仿宋_GB2312" w:hAnsi="宋体" w:eastAsia="仿宋_GB2312" w:cs="仿宋_GB2312"/>
          <w:sz w:val="28"/>
          <w:szCs w:val="28"/>
          <w:u w:color="FFFFFF"/>
        </w:rPr>
        <w:t>英文版标准Packaging for terminally sterilized medical devices —Part 1: Requirements for materials, sterile barrier systems and packaging systems的内容。</w:t>
      </w:r>
    </w:p>
    <w:p>
      <w:pPr>
        <w:spacing w:line="460" w:lineRule="exact"/>
        <w:ind w:firstLine="560" w:firstLineChars="200"/>
        <w:jc w:val="left"/>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与GB/T 19633.</w:t>
      </w:r>
      <w:r>
        <w:rPr>
          <w:rFonts w:hint="eastAsia" w:ascii="仿宋_GB2312" w:hAnsi="宋体" w:eastAsia="仿宋_GB2312" w:cs="仿宋_GB2312"/>
          <w:sz w:val="28"/>
          <w:szCs w:val="28"/>
          <w:u w:color="FFFFFF"/>
          <w:lang w:val="en-US" w:eastAsia="zh-CN"/>
        </w:rPr>
        <w:t>1</w:t>
      </w:r>
      <w:r>
        <w:rPr>
          <w:rFonts w:hint="eastAsia" w:ascii="仿宋_GB2312" w:hAnsi="宋体" w:eastAsia="仿宋_GB2312" w:cs="仿宋_GB2312"/>
          <w:sz w:val="28"/>
          <w:szCs w:val="28"/>
          <w:u w:color="FFFFFF"/>
        </w:rPr>
        <w:t>-2015版本存在技术差异。</w:t>
      </w:r>
    </w:p>
    <w:p>
      <w:pPr>
        <w:spacing w:line="460" w:lineRule="exact"/>
        <w:ind w:firstLine="560" w:firstLineChars="200"/>
        <w:jc w:val="left"/>
        <w:rPr>
          <w:rFonts w:hint="default" w:ascii="仿宋_GB2312" w:hAnsi="宋体" w:eastAsia="仿宋_GB2312" w:cs="仿宋_GB2312"/>
          <w:sz w:val="28"/>
          <w:szCs w:val="28"/>
          <w:u w:color="FFFFFF"/>
          <w:lang w:val="en-US" w:eastAsia="zh-CN"/>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规定了材料、预成型无菌屏障系统、无菌屏障系统和预期在使用前保持最终灭菌医疗器械无菌的包装系统的要求和试验方法，可供包装系统的材料供应商、预成型无菌屏障系统供应商、医疗器械制造商或医疗保健机构使用。对材料、预成型无菌屏障系统和无菌屏障系统提出了以下要求：a)微生物屏障性能；b）生物相容性和毒理学特性，包括灭菌对生物相容性的影响；c）物理和化学特性；</w:t>
      </w:r>
      <w:r>
        <w:rPr>
          <w:rFonts w:hint="eastAsia" w:ascii="仿宋_GB2312" w:hAnsi="宋体" w:eastAsia="仿宋_GB2312" w:cs="仿宋_GB2312"/>
          <w:sz w:val="28"/>
          <w:szCs w:val="28"/>
          <w:u w:color="FFFFFF"/>
          <w:lang w:val="en-US" w:eastAsia="zh-CN"/>
        </w:rPr>
        <w:t>d</w:t>
      </w:r>
      <w:r>
        <w:rPr>
          <w:rFonts w:hint="eastAsia" w:ascii="仿宋_GB2312" w:hAnsi="宋体" w:eastAsia="仿宋_GB2312" w:cs="仿宋_GB2312"/>
          <w:sz w:val="28"/>
          <w:szCs w:val="28"/>
          <w:u w:color="FFFFFF"/>
        </w:rPr>
        <w:t>）与成型和密封过程的适应性；</w:t>
      </w:r>
      <w:r>
        <w:rPr>
          <w:rFonts w:hint="eastAsia" w:ascii="仿宋_GB2312" w:hAnsi="宋体" w:eastAsia="仿宋_GB2312" w:cs="仿宋_GB2312"/>
          <w:sz w:val="28"/>
          <w:szCs w:val="28"/>
          <w:u w:color="FFFFFF"/>
          <w:lang w:val="en-US" w:eastAsia="zh-CN"/>
        </w:rPr>
        <w:t>e</w:t>
      </w:r>
      <w:r>
        <w:rPr>
          <w:rFonts w:hint="eastAsia" w:ascii="仿宋_GB2312" w:hAnsi="宋体" w:eastAsia="仿宋_GB2312" w:cs="仿宋_GB2312"/>
          <w:sz w:val="28"/>
          <w:szCs w:val="28"/>
          <w:u w:color="FFFFFF"/>
        </w:rPr>
        <w:t>）与预期灭菌过程的适应性；</w:t>
      </w:r>
      <w:r>
        <w:rPr>
          <w:rFonts w:hint="eastAsia" w:ascii="仿宋_GB2312" w:hAnsi="宋体" w:eastAsia="仿宋_GB2312" w:cs="仿宋_GB2312"/>
          <w:sz w:val="28"/>
          <w:szCs w:val="28"/>
          <w:u w:color="FFFFFF"/>
          <w:lang w:val="en-US" w:eastAsia="zh-CN"/>
        </w:rPr>
        <w:t>f</w:t>
      </w:r>
      <w:r>
        <w:rPr>
          <w:rFonts w:hint="eastAsia" w:ascii="仿宋_GB2312" w:hAnsi="宋体" w:eastAsia="仿宋_GB2312" w:cs="仿宋_GB2312"/>
          <w:sz w:val="28"/>
          <w:szCs w:val="28"/>
          <w:u w:color="FFFFFF"/>
        </w:rPr>
        <w:t>）灭菌前和灭菌后的贮存寿命</w:t>
      </w:r>
      <w:r>
        <w:rPr>
          <w:rFonts w:hint="eastAsia" w:ascii="仿宋_GB2312" w:hAnsi="宋体" w:eastAsia="仿宋_GB2312" w:cs="仿宋_GB2312"/>
          <w:sz w:val="28"/>
          <w:szCs w:val="28"/>
          <w:u w:color="FFFFFF"/>
          <w:lang w:val="en-US" w:eastAsia="zh-CN"/>
        </w:rPr>
        <w:t>.对包装系统提出了以下要求：a)包装系统的设计和开发；b)无菌取用的可用性评价及开启前检查；c)包装系统的性能及稳定性；d)包装系统的确认与变更。</w:t>
      </w:r>
      <w:bookmarkStart w:id="0" w:name="_GoBack"/>
      <w:bookmarkEnd w:id="0"/>
    </w:p>
    <w:p>
      <w:pPr>
        <w:spacing w:line="460" w:lineRule="exact"/>
        <w:jc w:val="left"/>
        <w:rPr>
          <w:rFonts w:ascii="仿宋_GB2312" w:hAnsi="宋体" w:eastAsia="仿宋_GB2312"/>
          <w:b/>
          <w:bCs/>
          <w:color w:val="000000"/>
          <w:sz w:val="28"/>
          <w:szCs w:val="28"/>
        </w:rPr>
      </w:pPr>
      <w:r>
        <w:rPr>
          <w:rFonts w:hint="eastAsia" w:ascii="仿宋_GB2312" w:hAnsi="宋体" w:eastAsia="仿宋_GB2312" w:cs="仿宋_GB2312"/>
          <w:b/>
          <w:bCs/>
          <w:sz w:val="28"/>
          <w:szCs w:val="28"/>
        </w:rPr>
        <w:t>三、主要试验（或验证）的分析、综述报告，技术经济论证，预期的经济效果</w:t>
      </w:r>
    </w:p>
    <w:p>
      <w:pPr>
        <w:spacing w:line="460" w:lineRule="exact"/>
        <w:ind w:firstLine="560" w:firstLineChars="200"/>
        <w:rPr>
          <w:rFonts w:hint="eastAsia" w:ascii="仿宋_GB2312" w:hAnsi="宋体" w:eastAsia="仿宋_GB2312" w:cs="仿宋_GB2312"/>
          <w:sz w:val="28"/>
          <w:szCs w:val="28"/>
          <w:highlight w:val="none"/>
          <w:lang w:eastAsia="zh-CN"/>
        </w:rPr>
      </w:pPr>
      <w:r>
        <w:rPr>
          <w:rFonts w:hint="eastAsia" w:ascii="仿宋_GB2312" w:hAnsi="宋体" w:eastAsia="仿宋_GB2312" w:cs="仿宋_GB2312"/>
          <w:sz w:val="28"/>
          <w:szCs w:val="28"/>
          <w:highlight w:val="none"/>
        </w:rPr>
        <w:t>本文件</w:t>
      </w:r>
      <w:r>
        <w:rPr>
          <w:rFonts w:hint="eastAsia" w:ascii="仿宋_GB2312" w:hAnsi="宋体" w:eastAsia="仿宋_GB2312" w:cs="仿宋_GB2312"/>
          <w:sz w:val="28"/>
          <w:szCs w:val="28"/>
          <w:highlight w:val="none"/>
          <w:lang w:eastAsia="zh-CN"/>
        </w:rPr>
        <w:t>。。。</w:t>
      </w:r>
      <w:r>
        <w:rPr>
          <w:rFonts w:hint="eastAsia" w:ascii="仿宋_GB2312" w:hAnsi="宋体" w:eastAsia="仿宋_GB2312" w:cs="仿宋_GB2312"/>
          <w:sz w:val="28"/>
          <w:szCs w:val="28"/>
          <w:highlight w:val="none"/>
        </w:rPr>
        <w:t>进行验证。广东省医疗器械质量监督检验所、</w:t>
      </w:r>
      <w:r>
        <w:rPr>
          <w:rFonts w:hint="eastAsia" w:ascii="仿宋_GB2312" w:hAnsi="宋体" w:eastAsia="仿宋_GB2312" w:cs="仿宋_GB2312"/>
          <w:sz w:val="28"/>
          <w:szCs w:val="28"/>
          <w:highlight w:val="none"/>
          <w:lang w:val="en-US" w:eastAsia="zh-CN"/>
        </w:rPr>
        <w:t>XXXX</w:t>
      </w:r>
      <w:r>
        <w:rPr>
          <w:rFonts w:hint="eastAsia" w:ascii="仿宋_GB2312" w:hAnsi="宋体" w:eastAsia="仿宋_GB2312" w:cs="仿宋_GB2312"/>
          <w:sz w:val="28"/>
          <w:szCs w:val="28"/>
          <w:highlight w:val="none"/>
        </w:rPr>
        <w:t>出具验证报告。主要验证了《</w:t>
      </w:r>
      <w:r>
        <w:rPr>
          <w:rFonts w:hint="eastAsia" w:ascii="仿宋_GB2312" w:hAnsi="宋体" w:eastAsia="仿宋_GB2312" w:cs="仿宋_GB2312"/>
          <w:sz w:val="28"/>
          <w:szCs w:val="28"/>
          <w:u w:color="FFFFFF"/>
        </w:rPr>
        <w:t>最终灭菌医疗器械包装</w:t>
      </w:r>
      <w:r>
        <w:rPr>
          <w:rFonts w:hint="eastAsia" w:ascii="仿宋_GB2312" w:hAnsi="宋体" w:eastAsia="仿宋_GB2312" w:cs="仿宋_GB2312"/>
          <w:sz w:val="28"/>
          <w:szCs w:val="28"/>
          <w:u w:color="FFFFFF"/>
          <w:lang w:val="en-US" w:eastAsia="zh-CN"/>
        </w:rPr>
        <w:t xml:space="preserve"> </w:t>
      </w:r>
      <w:r>
        <w:rPr>
          <w:rFonts w:hint="eastAsia" w:ascii="仿宋_GB2312" w:hAnsi="宋体" w:eastAsia="仿宋_GB2312" w:cs="仿宋_GB2312"/>
          <w:sz w:val="28"/>
          <w:szCs w:val="28"/>
          <w:u w:color="FFFFFF"/>
        </w:rPr>
        <w:t>第1部分：材料、无菌屏障系统和包装系统的要求</w:t>
      </w:r>
      <w:r>
        <w:rPr>
          <w:rFonts w:hint="eastAsia" w:ascii="仿宋_GB2312" w:hAnsi="宋体" w:eastAsia="仿宋_GB2312" w:cs="仿宋_GB2312"/>
          <w:sz w:val="28"/>
          <w:szCs w:val="28"/>
          <w:highlight w:val="none"/>
        </w:rPr>
        <w:t>》合理性及其对应试验方法的可行性。具体内容按照《</w:t>
      </w:r>
      <w:r>
        <w:rPr>
          <w:rFonts w:hint="eastAsia" w:ascii="仿宋_GB2312" w:hAnsi="宋体" w:eastAsia="仿宋_GB2312" w:cs="仿宋_GB2312"/>
          <w:sz w:val="28"/>
          <w:szCs w:val="28"/>
          <w:u w:color="FFFFFF"/>
        </w:rPr>
        <w:t>最终灭菌医疗器械包装</w:t>
      </w:r>
      <w:r>
        <w:rPr>
          <w:rFonts w:hint="eastAsia" w:ascii="仿宋_GB2312" w:hAnsi="宋体" w:eastAsia="仿宋_GB2312" w:cs="仿宋_GB2312"/>
          <w:sz w:val="28"/>
          <w:szCs w:val="28"/>
          <w:u w:color="FFFFFF"/>
          <w:lang w:val="en-US" w:eastAsia="zh-CN"/>
        </w:rPr>
        <w:t xml:space="preserve"> </w:t>
      </w:r>
      <w:r>
        <w:rPr>
          <w:rFonts w:hint="eastAsia" w:ascii="仿宋_GB2312" w:hAnsi="宋体" w:eastAsia="仿宋_GB2312" w:cs="仿宋_GB2312"/>
          <w:sz w:val="28"/>
          <w:szCs w:val="28"/>
          <w:u w:color="FFFFFF"/>
        </w:rPr>
        <w:t>第1部分：材料、无菌屏障系统和包装系统的要求</w:t>
      </w:r>
      <w:r>
        <w:rPr>
          <w:rFonts w:hint="eastAsia" w:ascii="仿宋_GB2312" w:hAnsi="宋体" w:eastAsia="仿宋_GB2312" w:cs="仿宋_GB2312"/>
          <w:sz w:val="28"/>
          <w:szCs w:val="28"/>
          <w:highlight w:val="none"/>
        </w:rPr>
        <w:t>》标准预审稿</w:t>
      </w:r>
      <w:r>
        <w:rPr>
          <w:rFonts w:hint="eastAsia" w:ascii="仿宋_GB2312" w:hAnsi="宋体" w:eastAsia="仿宋_GB2312" w:cs="仿宋_GB2312"/>
          <w:sz w:val="28"/>
          <w:szCs w:val="28"/>
          <w:highlight w:val="none"/>
          <w:lang w:eastAsia="zh-CN"/>
        </w:rPr>
        <w:t>。。。</w:t>
      </w:r>
      <w:r>
        <w:rPr>
          <w:rFonts w:hint="eastAsia" w:ascii="仿宋_GB2312" w:hAnsi="宋体" w:eastAsia="仿宋_GB2312" w:cs="仿宋_GB2312"/>
          <w:sz w:val="28"/>
          <w:szCs w:val="28"/>
          <w:highlight w:val="none"/>
        </w:rPr>
        <w:t>要求和试验方法进行。通过验证，《</w:t>
      </w:r>
      <w:r>
        <w:rPr>
          <w:rFonts w:hint="eastAsia" w:ascii="仿宋_GB2312" w:hAnsi="宋体" w:eastAsia="仿宋_GB2312" w:cs="仿宋_GB2312"/>
          <w:sz w:val="28"/>
          <w:szCs w:val="28"/>
          <w:u w:color="FFFFFF"/>
        </w:rPr>
        <w:t>最终灭菌医疗器械包装</w:t>
      </w:r>
      <w:r>
        <w:rPr>
          <w:rFonts w:hint="eastAsia" w:ascii="仿宋_GB2312" w:hAnsi="宋体" w:eastAsia="仿宋_GB2312" w:cs="仿宋_GB2312"/>
          <w:sz w:val="28"/>
          <w:szCs w:val="28"/>
          <w:u w:color="FFFFFF"/>
          <w:lang w:val="en-US" w:eastAsia="zh-CN"/>
        </w:rPr>
        <w:t xml:space="preserve"> </w:t>
      </w:r>
      <w:r>
        <w:rPr>
          <w:rFonts w:hint="eastAsia" w:ascii="仿宋_GB2312" w:hAnsi="宋体" w:eastAsia="仿宋_GB2312" w:cs="仿宋_GB2312"/>
          <w:sz w:val="28"/>
          <w:szCs w:val="28"/>
          <w:u w:color="FFFFFF"/>
        </w:rPr>
        <w:t>第1部分：材料、无菌屏障系统和包装系统的要求</w:t>
      </w:r>
      <w:r>
        <w:rPr>
          <w:rFonts w:hint="eastAsia" w:ascii="仿宋_GB2312" w:hAnsi="宋体" w:eastAsia="仿宋_GB2312" w:cs="仿宋_GB2312"/>
          <w:sz w:val="28"/>
          <w:szCs w:val="28"/>
          <w:highlight w:val="none"/>
        </w:rPr>
        <w:t>》预审稿中的测试方法具有可操作性，国内具备标准要求中的检验能力，试验条件满足要求，所需试验设备完备，能顺利完成测试</w:t>
      </w:r>
      <w:r>
        <w:rPr>
          <w:rFonts w:hint="eastAsia" w:ascii="仿宋_GB2312" w:hAnsi="宋体" w:eastAsia="仿宋_GB2312" w:cs="仿宋_GB2312"/>
          <w:sz w:val="28"/>
          <w:szCs w:val="28"/>
          <w:highlight w:val="none"/>
          <w:lang w:eastAsia="zh-CN"/>
        </w:rPr>
        <w:t>。</w:t>
      </w:r>
    </w:p>
    <w:p>
      <w:pPr>
        <w:spacing w:line="460" w:lineRule="exact"/>
        <w:ind w:firstLine="560" w:firstLineChars="200"/>
        <w:rPr>
          <w:rFonts w:ascii="仿宋_GB2312" w:hAnsi="宋体" w:eastAsia="仿宋_GB2312" w:cs="仿宋_GB2312"/>
          <w:sz w:val="28"/>
          <w:szCs w:val="28"/>
          <w:highlight w:val="none"/>
        </w:rPr>
      </w:pPr>
      <w:r>
        <w:rPr>
          <w:rFonts w:hint="eastAsia" w:ascii="仿宋_GB2312" w:hAnsi="宋体" w:eastAsia="仿宋_GB2312" w:cs="仿宋_GB2312"/>
          <w:kern w:val="2"/>
          <w:sz w:val="28"/>
          <w:szCs w:val="28"/>
          <w:u w:color="FFFFFF"/>
        </w:rPr>
        <w:t>无菌屏障系统是最终灭菌医疗器械安全性的基本保证。器械部件和包装系统应该共同保证无菌医疗器械的安全性和有效性。最终灭菌医疗器械包装系统的目标是能进行灭菌、提供物理保护、保持使用前无菌水平、并能无菌取用。医疗器械的具体特性、预期的灭菌方法、预期使用、有效日期、运输、和贮存都对包装系统的设计和材料的选择带来影响。</w:t>
      </w:r>
      <w:r>
        <w:rPr>
          <w:rFonts w:hint="eastAsia" w:ascii="仿宋_GB2312" w:hAnsi="宋体" w:eastAsia="仿宋_GB2312" w:cs="仿宋_GB2312"/>
          <w:sz w:val="28"/>
          <w:szCs w:val="28"/>
          <w:highlight w:val="none"/>
        </w:rPr>
        <w:t>它的发布有利于规范验证过程的规范性和有效性，对促进行业发展，保证用户和患者的使用安全方面，都有积极的经济和社会意义。</w:t>
      </w:r>
    </w:p>
    <w:p>
      <w:pPr>
        <w:pStyle w:val="6"/>
        <w:spacing w:line="460" w:lineRule="exact"/>
        <w:jc w:val="both"/>
        <w:rPr>
          <w:rFonts w:ascii="仿宋_GB2312" w:hAnsi="宋体" w:eastAsia="仿宋_GB2312"/>
          <w:b/>
          <w:bCs/>
          <w:color w:val="000000"/>
          <w:sz w:val="28"/>
          <w:szCs w:val="28"/>
        </w:rPr>
      </w:pPr>
      <w:r>
        <w:rPr>
          <w:rFonts w:hint="eastAsia" w:ascii="仿宋_GB2312" w:hAnsi="宋体" w:eastAsia="仿宋_GB2312" w:cs="仿宋_GB2312"/>
          <w:b/>
          <w:bCs/>
          <w:sz w:val="28"/>
          <w:szCs w:val="28"/>
        </w:rPr>
        <w:t>四、采用国际标准和国外先进标准的程度，以及与国际、国外同类标准水平的对比情况，或与测试的国外样品、样机的有关数据对比情况</w:t>
      </w:r>
    </w:p>
    <w:p>
      <w:pPr>
        <w:spacing w:line="460" w:lineRule="exact"/>
        <w:ind w:firstLine="560" w:firstLineChars="200"/>
        <w:jc w:val="left"/>
        <w:rPr>
          <w:rFonts w:ascii="仿宋_GB2312" w:hAnsi="宋体" w:eastAsia="仿宋_GB2312" w:cs="仿宋_GB2312"/>
          <w:sz w:val="28"/>
          <w:szCs w:val="28"/>
        </w:rPr>
      </w:pPr>
      <w:r>
        <w:rPr>
          <w:rFonts w:hint="eastAsia" w:ascii="仿宋_GB2312" w:hAnsi="宋体" w:eastAsia="仿宋_GB2312" w:cs="仿宋_GB2312"/>
          <w:sz w:val="28"/>
          <w:szCs w:val="28"/>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rPr>
        <w:t>等同采用</w:t>
      </w:r>
      <w:r>
        <w:rPr>
          <w:rFonts w:hint="eastAsia" w:ascii="仿宋_GB2312" w:hAnsi="宋体" w:eastAsia="仿宋_GB2312" w:cs="仿宋_GB2312"/>
          <w:sz w:val="28"/>
          <w:szCs w:val="28"/>
          <w:u w:color="FFFFFF"/>
        </w:rPr>
        <w:t>英文版标准Packaging for terminally sterilized medical devices —Part 1: Requirements for materials, sterile barrier systems and packaging systems</w:t>
      </w:r>
      <w:r>
        <w:rPr>
          <w:rFonts w:hint="eastAsia" w:ascii="仿宋_GB2312" w:hAnsi="宋体" w:eastAsia="仿宋_GB2312" w:cs="仿宋_GB2312"/>
          <w:sz w:val="28"/>
          <w:szCs w:val="28"/>
        </w:rPr>
        <w:t>。</w:t>
      </w:r>
    </w:p>
    <w:p>
      <w:pPr>
        <w:spacing w:line="460" w:lineRule="exact"/>
        <w:ind w:firstLine="560" w:firstLineChars="200"/>
        <w:jc w:val="left"/>
        <w:rPr>
          <w:rFonts w:ascii="仿宋_GB2312" w:hAnsi="宋体" w:eastAsia="仿宋_GB2312" w:cs="仿宋_GB2312"/>
          <w:sz w:val="28"/>
          <w:szCs w:val="28"/>
        </w:rPr>
      </w:pPr>
      <w:r>
        <w:rPr>
          <w:rFonts w:hint="eastAsia" w:ascii="仿宋_GB2312" w:hAnsi="宋体" w:eastAsia="仿宋_GB2312" w:cs="仿宋_GB2312"/>
          <w:sz w:val="28"/>
          <w:szCs w:val="28"/>
        </w:rPr>
        <w:t>在编写格式上根据我国国家标准</w:t>
      </w:r>
      <w:r>
        <w:rPr>
          <w:rFonts w:ascii="仿宋_GB2312" w:hAnsi="宋体" w:eastAsia="仿宋_GB2312" w:cs="仿宋_GB2312"/>
          <w:sz w:val="28"/>
          <w:szCs w:val="28"/>
        </w:rPr>
        <w:t>GB/T 1.1—</w:t>
      </w:r>
      <w:r>
        <w:rPr>
          <w:rFonts w:hint="eastAsia" w:ascii="仿宋_GB2312" w:hAnsi="宋体" w:eastAsia="仿宋_GB2312" w:cs="仿宋_GB2312"/>
          <w:sz w:val="28"/>
          <w:szCs w:val="28"/>
        </w:rPr>
        <w:t>2020《标准化工作导则第</w:t>
      </w:r>
      <w:r>
        <w:rPr>
          <w:rFonts w:ascii="仿宋_GB2312" w:hAnsi="宋体" w:eastAsia="仿宋_GB2312" w:cs="仿宋_GB2312"/>
          <w:sz w:val="28"/>
          <w:szCs w:val="28"/>
        </w:rPr>
        <w:t>1</w:t>
      </w:r>
      <w:r>
        <w:rPr>
          <w:rFonts w:hint="eastAsia" w:ascii="仿宋_GB2312" w:hAnsi="宋体" w:eastAsia="仿宋_GB2312" w:cs="仿宋_GB2312"/>
          <w:sz w:val="28"/>
          <w:szCs w:val="28"/>
        </w:rPr>
        <w:t>部分：标准化文件的结构和起草规则》以及</w:t>
      </w:r>
      <w:r>
        <w:rPr>
          <w:rFonts w:ascii="仿宋_GB2312" w:hAnsi="宋体" w:eastAsia="仿宋_GB2312" w:cs="仿宋_GB2312"/>
          <w:sz w:val="28"/>
          <w:szCs w:val="28"/>
        </w:rPr>
        <w:t>GB/T</w:t>
      </w:r>
      <w:r>
        <w:rPr>
          <w:rFonts w:hint="eastAsia" w:ascii="仿宋_GB2312" w:hAnsi="宋体" w:eastAsia="仿宋_GB2312" w:cs="仿宋_GB2312"/>
          <w:sz w:val="28"/>
          <w:szCs w:val="28"/>
        </w:rPr>
        <w:t xml:space="preserve"> 1.2-2020《标准化工作导则第</w:t>
      </w:r>
      <w:r>
        <w:rPr>
          <w:rFonts w:ascii="仿宋_GB2312" w:hAnsi="宋体" w:eastAsia="仿宋_GB2312" w:cs="仿宋_GB2312"/>
          <w:sz w:val="28"/>
          <w:szCs w:val="28"/>
        </w:rPr>
        <w:t>2</w:t>
      </w:r>
      <w:r>
        <w:rPr>
          <w:rFonts w:hint="eastAsia" w:ascii="仿宋_GB2312" w:hAnsi="宋体" w:eastAsia="仿宋_GB2312" w:cs="仿宋_GB2312"/>
          <w:sz w:val="28"/>
          <w:szCs w:val="28"/>
        </w:rPr>
        <w:t>部分：以ISO/IEC标准化文件为基础的标准化文件起草规则》的要求作了一些编辑性修改。</w:t>
      </w:r>
    </w:p>
    <w:p>
      <w:pPr>
        <w:pStyle w:val="6"/>
        <w:spacing w:line="460" w:lineRule="exact"/>
        <w:ind w:firstLine="560" w:firstLineChars="200"/>
        <w:jc w:val="both"/>
        <w:rPr>
          <w:rFonts w:ascii="仿宋_GB2312" w:hAnsi="宋体" w:eastAsia="仿宋_GB2312"/>
          <w:b/>
          <w:bCs/>
          <w:color w:val="000000"/>
          <w:sz w:val="28"/>
          <w:szCs w:val="28"/>
        </w:rPr>
      </w:pPr>
      <w:r>
        <w:rPr>
          <w:rFonts w:hint="eastAsia" w:ascii="仿宋_GB2312" w:hAnsi="宋体" w:eastAsia="仿宋_GB2312" w:cs="仿宋_GB2312"/>
          <w:sz w:val="28"/>
          <w:szCs w:val="28"/>
          <w:lang w:val="en-US" w:eastAsia="zh-CN"/>
        </w:rPr>
        <w:t>ISO 11607-1:2019为最新的现时有效的国际标准</w:t>
      </w:r>
      <w:r>
        <w:rPr>
          <w:rFonts w:hint="eastAsia" w:ascii="仿宋_GB2312" w:hAnsi="宋体" w:eastAsia="仿宋_GB2312" w:cs="仿宋_GB2312"/>
          <w:sz w:val="28"/>
          <w:szCs w:val="28"/>
        </w:rPr>
        <w:t>。</w:t>
      </w:r>
    </w:p>
    <w:p>
      <w:pPr>
        <w:pStyle w:val="6"/>
        <w:spacing w:line="460" w:lineRule="exact"/>
        <w:jc w:val="both"/>
        <w:rPr>
          <w:rFonts w:ascii="仿宋_GB2312" w:hAnsi="宋体" w:eastAsia="仿宋_GB2312"/>
          <w:b/>
          <w:bCs/>
          <w:sz w:val="28"/>
          <w:szCs w:val="28"/>
        </w:rPr>
      </w:pPr>
      <w:r>
        <w:rPr>
          <w:rFonts w:hint="eastAsia" w:ascii="仿宋_GB2312" w:hAnsi="宋体" w:eastAsia="仿宋_GB2312" w:cs="仿宋_GB2312"/>
          <w:b/>
          <w:bCs/>
          <w:sz w:val="28"/>
          <w:szCs w:val="28"/>
        </w:rPr>
        <w:t>五、与有关的现行法律、法规和其他相关标准的关系等协调性问题</w:t>
      </w:r>
    </w:p>
    <w:p>
      <w:pPr>
        <w:spacing w:line="460" w:lineRule="exact"/>
        <w:ind w:firstLine="560" w:firstLineChars="200"/>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sz w:val="28"/>
          <w:szCs w:val="28"/>
          <w:u w:color="FFFFFF"/>
        </w:rPr>
        <w:t>与有关的现行法律、法规和其他标准均一致相协调，无矛盾。</w:t>
      </w:r>
    </w:p>
    <w:p>
      <w:pPr>
        <w:spacing w:line="460" w:lineRule="exact"/>
        <w:jc w:val="left"/>
        <w:rPr>
          <w:rFonts w:ascii="仿宋_GB2312" w:hAnsi="宋体" w:eastAsia="仿宋_GB2312"/>
          <w:b/>
          <w:bCs/>
          <w:sz w:val="28"/>
          <w:szCs w:val="28"/>
        </w:rPr>
      </w:pPr>
      <w:r>
        <w:rPr>
          <w:rFonts w:hint="eastAsia" w:ascii="仿宋_GB2312" w:hAnsi="宋体" w:eastAsia="仿宋_GB2312" w:cs="仿宋_GB2312"/>
          <w:b/>
          <w:bCs/>
          <w:sz w:val="28"/>
          <w:szCs w:val="28"/>
        </w:rPr>
        <w:t>六、重大分歧意见的处理情况及依据</w:t>
      </w:r>
    </w:p>
    <w:p>
      <w:pPr>
        <w:pStyle w:val="26"/>
        <w:spacing w:line="460" w:lineRule="exact"/>
        <w:ind w:firstLine="509" w:firstLineChars="182"/>
        <w:rPr>
          <w:rFonts w:ascii="仿宋_GB2312" w:hAnsi="宋体" w:eastAsia="仿宋_GB2312" w:cs="Times New Roman"/>
          <w:kern w:val="2"/>
          <w:sz w:val="28"/>
          <w:szCs w:val="28"/>
          <w:u w:color="FFFFFF"/>
        </w:rPr>
      </w:pPr>
      <w:r>
        <w:rPr>
          <w:rFonts w:hint="eastAsia" w:ascii="仿宋_GB2312" w:hAnsi="宋体" w:eastAsia="仿宋_GB2312" w:cs="仿宋_GB2312"/>
          <w:kern w:val="2"/>
          <w:sz w:val="28"/>
          <w:szCs w:val="28"/>
          <w:u w:color="FFFFFF"/>
        </w:rPr>
        <w:t>无</w:t>
      </w:r>
      <w:r>
        <w:rPr>
          <w:rFonts w:hint="eastAsia" w:ascii="仿宋_GB2312" w:hAnsi="宋体" w:eastAsia="仿宋_GB2312" w:cs="仿宋_GB2312"/>
          <w:bCs/>
          <w:sz w:val="28"/>
          <w:szCs w:val="28"/>
        </w:rPr>
        <w:t>重大分歧意见。</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七、作为强制性或推荐性标准的建议</w:t>
      </w:r>
    </w:p>
    <w:p>
      <w:pPr>
        <w:pStyle w:val="26"/>
        <w:spacing w:line="460" w:lineRule="exact"/>
        <w:ind w:firstLine="560"/>
        <w:rPr>
          <w:rFonts w:ascii="仿宋_GB2312" w:hAnsi="宋体" w:eastAsia="仿宋_GB2312" w:cs="仿宋_GB2312"/>
          <w:kern w:val="2"/>
          <w:sz w:val="28"/>
          <w:szCs w:val="28"/>
          <w:u w:color="FFFFFF"/>
        </w:rPr>
      </w:pPr>
      <w:r>
        <w:rPr>
          <w:rFonts w:hint="eastAsia" w:ascii="仿宋_GB2312" w:hAnsi="宋体" w:eastAsia="仿宋_GB2312" w:cs="仿宋_GB2312"/>
          <w:kern w:val="2"/>
          <w:sz w:val="28"/>
          <w:szCs w:val="28"/>
          <w:u w:color="FFFFFF"/>
        </w:rPr>
        <w:t>最终灭菌医疗器械包装系统的设计是一项复杂而关键的工作。</w:t>
      </w:r>
      <w:r>
        <w:rPr>
          <w:rFonts w:hint="eastAsia" w:ascii="仿宋_GB2312" w:hAnsi="宋体" w:eastAsia="仿宋_GB2312" w:cs="仿宋_GB2312"/>
          <w:kern w:val="2"/>
          <w:sz w:val="28"/>
          <w:szCs w:val="28"/>
          <w:u w:color="FFFFFF"/>
          <w:lang w:val="en-US" w:eastAsia="zh-CN"/>
        </w:rPr>
        <w:t>本文件</w:t>
      </w:r>
      <w:r>
        <w:rPr>
          <w:rFonts w:hint="eastAsia" w:ascii="仿宋_GB2312" w:hAnsi="宋体" w:eastAsia="仿宋_GB2312" w:cs="仿宋_GB2312"/>
          <w:kern w:val="2"/>
          <w:sz w:val="28"/>
          <w:szCs w:val="28"/>
          <w:u w:color="FFFFFF"/>
        </w:rPr>
        <w:t>为最终灭菌医疗器械设计无菌屏障系统和包装系统提供了基本要求，包括材料、预成型无菌屏障系统和无菌屏障系统所需的基本属性以及设计确认要求。建议本</w:t>
      </w:r>
      <w:r>
        <w:rPr>
          <w:rFonts w:hint="eastAsia" w:ascii="仿宋_GB2312" w:hAnsi="宋体" w:eastAsia="仿宋_GB2312" w:cs="仿宋_GB2312"/>
          <w:kern w:val="2"/>
          <w:sz w:val="28"/>
          <w:szCs w:val="28"/>
          <w:u w:color="FFFFFF"/>
          <w:lang w:val="en-US" w:eastAsia="zh-CN"/>
        </w:rPr>
        <w:t>文件</w:t>
      </w:r>
      <w:r>
        <w:rPr>
          <w:rFonts w:hint="eastAsia" w:ascii="仿宋_GB2312" w:hAnsi="宋体" w:eastAsia="仿宋_GB2312" w:cs="仿宋_GB2312"/>
          <w:kern w:val="2"/>
          <w:sz w:val="28"/>
          <w:szCs w:val="28"/>
          <w:u w:color="FFFFFF"/>
        </w:rPr>
        <w:t>按推荐性</w:t>
      </w:r>
      <w:r>
        <w:rPr>
          <w:rFonts w:hint="eastAsia" w:ascii="仿宋_GB2312" w:hAnsi="宋体" w:eastAsia="仿宋_GB2312" w:cs="仿宋_GB2312"/>
          <w:kern w:val="2"/>
          <w:sz w:val="28"/>
          <w:szCs w:val="28"/>
          <w:u w:color="FFFFFF"/>
          <w:lang w:val="en-US" w:eastAsia="zh-CN"/>
        </w:rPr>
        <w:t>国家</w:t>
      </w:r>
      <w:r>
        <w:rPr>
          <w:rFonts w:hint="eastAsia" w:ascii="仿宋_GB2312" w:hAnsi="宋体" w:eastAsia="仿宋_GB2312" w:cs="仿宋_GB2312"/>
          <w:kern w:val="2"/>
          <w:sz w:val="28"/>
          <w:szCs w:val="28"/>
          <w:u w:color="FFFFFF"/>
        </w:rPr>
        <w:t>标准进行修订。</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八、贯彻标准的要求和措施建议</w:t>
      </w:r>
    </w:p>
    <w:p>
      <w:pPr>
        <w:pStyle w:val="26"/>
        <w:spacing w:line="460" w:lineRule="exact"/>
        <w:ind w:firstLine="560"/>
        <w:rPr>
          <w:rFonts w:ascii="仿宋_GB2312" w:hAnsi="宋体" w:eastAsia="仿宋_GB2312" w:cs="仿宋_GB2312"/>
          <w:kern w:val="2"/>
          <w:sz w:val="28"/>
          <w:szCs w:val="28"/>
          <w:highlight w:val="none"/>
          <w:u w:color="FFFFFF"/>
        </w:rPr>
      </w:pPr>
      <w:r>
        <w:rPr>
          <w:rFonts w:hint="eastAsia" w:ascii="仿宋_GB2312" w:hAnsi="宋体" w:eastAsia="仿宋_GB2312" w:cs="仿宋_GB2312"/>
          <w:kern w:val="2"/>
          <w:sz w:val="28"/>
          <w:szCs w:val="28"/>
          <w:highlight w:val="none"/>
          <w:u w:color="FFFFFF"/>
        </w:rPr>
        <w:t>从现状来看</w:t>
      </w:r>
      <w:r>
        <w:rPr>
          <w:rFonts w:hint="eastAsia" w:ascii="仿宋_GB2312" w:hAnsi="宋体" w:eastAsia="仿宋_GB2312" w:cs="仿宋_GB2312"/>
          <w:kern w:val="2"/>
          <w:sz w:val="28"/>
          <w:szCs w:val="28"/>
          <w:highlight w:val="none"/>
          <w:u w:color="FFFFFF"/>
          <w:lang w:eastAsia="zh-CN"/>
        </w:rPr>
        <w:t>，</w:t>
      </w:r>
      <w:r>
        <w:rPr>
          <w:rFonts w:hint="eastAsia" w:ascii="仿宋_GB2312" w:hAnsi="宋体" w:eastAsia="仿宋_GB2312" w:cs="仿宋_GB2312"/>
          <w:kern w:val="2"/>
          <w:sz w:val="28"/>
          <w:szCs w:val="28"/>
          <w:highlight w:val="none"/>
          <w:u w:color="FFFFFF"/>
          <w:lang w:val="en-US" w:eastAsia="zh-CN"/>
        </w:rPr>
        <w:t>本文件</w:t>
      </w:r>
      <w:r>
        <w:rPr>
          <w:rFonts w:hint="eastAsia" w:ascii="仿宋_GB2312" w:hAnsi="宋体" w:eastAsia="仿宋_GB2312" w:cs="仿宋_GB2312"/>
          <w:kern w:val="2"/>
          <w:sz w:val="28"/>
          <w:szCs w:val="28"/>
          <w:highlight w:val="none"/>
          <w:u w:color="FFFFFF"/>
        </w:rPr>
        <w:t>为提高国内企业相关质量管理能力提供了方法，为尽快跟上国际标准的最新技术要求，且考虑标准使用方对标准的理解和掌握，1</w:t>
      </w:r>
      <w:r>
        <w:rPr>
          <w:rFonts w:ascii="仿宋_GB2312" w:hAnsi="宋体" w:eastAsia="仿宋_GB2312" w:cs="仿宋_GB2312"/>
          <w:kern w:val="2"/>
          <w:sz w:val="28"/>
          <w:szCs w:val="28"/>
          <w:highlight w:val="none"/>
          <w:u w:color="FFFFFF"/>
        </w:rPr>
        <w:t>2</w:t>
      </w:r>
      <w:r>
        <w:rPr>
          <w:rFonts w:hint="eastAsia" w:ascii="仿宋_GB2312" w:hAnsi="宋体" w:eastAsia="仿宋_GB2312" w:cs="仿宋_GB2312"/>
          <w:kern w:val="2"/>
          <w:sz w:val="28"/>
          <w:szCs w:val="28"/>
          <w:highlight w:val="none"/>
          <w:u w:color="FFFFFF"/>
        </w:rPr>
        <w:t>个月过渡期较为合理。经审定会全体参会委员表决通过，建议本</w:t>
      </w:r>
      <w:r>
        <w:rPr>
          <w:rFonts w:hint="eastAsia" w:ascii="仿宋_GB2312" w:hAnsi="宋体" w:eastAsia="仿宋_GB2312" w:cs="仿宋_GB2312"/>
          <w:sz w:val="28"/>
          <w:szCs w:val="28"/>
          <w:highlight w:val="none"/>
        </w:rPr>
        <w:t>文件</w:t>
      </w:r>
      <w:r>
        <w:rPr>
          <w:rFonts w:hint="eastAsia" w:ascii="仿宋_GB2312" w:hAnsi="宋体" w:eastAsia="仿宋_GB2312" w:cs="仿宋_GB2312"/>
          <w:kern w:val="2"/>
          <w:sz w:val="28"/>
          <w:szCs w:val="28"/>
          <w:highlight w:val="none"/>
          <w:u w:color="FFFFFF"/>
        </w:rPr>
        <w:t>自发布之日起1</w:t>
      </w:r>
      <w:r>
        <w:rPr>
          <w:rFonts w:ascii="仿宋_GB2312" w:hAnsi="宋体" w:eastAsia="仿宋_GB2312" w:cs="仿宋_GB2312"/>
          <w:kern w:val="2"/>
          <w:sz w:val="28"/>
          <w:szCs w:val="28"/>
          <w:highlight w:val="none"/>
          <w:u w:color="FFFFFF"/>
        </w:rPr>
        <w:t>2</w:t>
      </w:r>
      <w:r>
        <w:rPr>
          <w:rFonts w:hint="eastAsia" w:ascii="仿宋_GB2312" w:hAnsi="宋体" w:eastAsia="仿宋_GB2312" w:cs="仿宋_GB2312"/>
          <w:kern w:val="2"/>
          <w:sz w:val="28"/>
          <w:szCs w:val="28"/>
          <w:highlight w:val="none"/>
          <w:u w:color="FFFFFF"/>
        </w:rPr>
        <w:t>个月后开始实施。</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九、废止现行有关标准的建议</w:t>
      </w:r>
    </w:p>
    <w:p>
      <w:pPr>
        <w:pStyle w:val="26"/>
        <w:spacing w:line="460" w:lineRule="exact"/>
        <w:ind w:firstLine="560"/>
        <w:rPr>
          <w:rFonts w:ascii="仿宋_GB2312" w:hAnsi="宋体" w:eastAsia="仿宋_GB2312" w:cs="Times New Roman"/>
          <w:kern w:val="2"/>
          <w:sz w:val="28"/>
          <w:szCs w:val="28"/>
          <w:u w:color="FFFFFF"/>
        </w:rPr>
      </w:pPr>
      <w:r>
        <w:rPr>
          <w:rFonts w:hint="eastAsia" w:ascii="仿宋_GB2312" w:hAnsi="宋体" w:eastAsia="仿宋_GB2312" w:cs="仿宋_GB2312"/>
          <w:sz w:val="28"/>
          <w:szCs w:val="28"/>
          <w:u w:color="FFFFFF"/>
        </w:rPr>
        <w:t>GB/T 19633.</w:t>
      </w:r>
      <w:r>
        <w:rPr>
          <w:rFonts w:hint="eastAsia" w:ascii="仿宋_GB2312" w:hAnsi="宋体" w:eastAsia="仿宋_GB2312" w:cs="仿宋_GB2312"/>
          <w:sz w:val="28"/>
          <w:szCs w:val="28"/>
          <w:u w:color="FFFFFF"/>
          <w:lang w:val="en-US" w:eastAsia="zh-CN"/>
        </w:rPr>
        <w:t>1</w:t>
      </w:r>
      <w:r>
        <w:rPr>
          <w:rFonts w:hint="eastAsia" w:ascii="仿宋_GB2312" w:hAnsi="宋体" w:eastAsia="仿宋_GB2312" w:cs="仿宋_GB2312"/>
          <w:sz w:val="28"/>
          <w:szCs w:val="28"/>
          <w:u w:color="FFFFFF"/>
        </w:rPr>
        <w:t>-XXXX</w:t>
      </w:r>
      <w:r>
        <w:rPr>
          <w:rFonts w:hint="eastAsia" w:ascii="仿宋_GB2312" w:hAnsi="宋体" w:eastAsia="仿宋_GB2312" w:cs="仿宋_GB2312"/>
          <w:kern w:val="2"/>
          <w:sz w:val="28"/>
          <w:szCs w:val="28"/>
          <w:u w:color="FFFFFF"/>
        </w:rPr>
        <w:t>自发布实施起，将代替此前</w:t>
      </w:r>
      <w:r>
        <w:rPr>
          <w:rFonts w:hint="eastAsia" w:ascii="仿宋_GB2312" w:hAnsi="宋体" w:eastAsia="仿宋_GB2312" w:cs="仿宋_GB2312"/>
          <w:sz w:val="28"/>
          <w:szCs w:val="28"/>
          <w:u w:color="FFFFFF"/>
        </w:rPr>
        <w:t>GB/T 19633.</w:t>
      </w:r>
      <w:r>
        <w:rPr>
          <w:rFonts w:hint="eastAsia" w:ascii="仿宋_GB2312" w:hAnsi="宋体" w:eastAsia="仿宋_GB2312" w:cs="仿宋_GB2312"/>
          <w:sz w:val="28"/>
          <w:szCs w:val="28"/>
          <w:u w:color="FFFFFF"/>
          <w:lang w:val="en-US" w:eastAsia="zh-CN"/>
        </w:rPr>
        <w:t>1</w:t>
      </w:r>
      <w:r>
        <w:rPr>
          <w:rFonts w:hint="eastAsia" w:ascii="仿宋_GB2312" w:hAnsi="宋体" w:eastAsia="仿宋_GB2312" w:cs="仿宋_GB2312"/>
          <w:sz w:val="28"/>
          <w:szCs w:val="28"/>
          <w:u w:color="FFFFFF"/>
        </w:rPr>
        <w:t>-2015</w:t>
      </w:r>
      <w:r>
        <w:rPr>
          <w:rFonts w:hint="eastAsia" w:ascii="仿宋_GB2312" w:hAnsi="宋体" w:eastAsia="仿宋_GB2312" w:cs="仿宋_GB2312"/>
          <w:kern w:val="2"/>
          <w:sz w:val="28"/>
          <w:szCs w:val="28"/>
          <w:u w:color="FFFFFF"/>
        </w:rPr>
        <w:t>标准。</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十、其他应予说明的</w:t>
      </w:r>
    </w:p>
    <w:p>
      <w:pPr>
        <w:pStyle w:val="26"/>
        <w:spacing w:line="460" w:lineRule="exact"/>
        <w:ind w:firstLine="560"/>
        <w:rPr>
          <w:rFonts w:ascii="仿宋_GB2312" w:hAnsi="宋体" w:eastAsia="仿宋_GB2312" w:cs="仿宋_GB2312"/>
          <w:kern w:val="2"/>
          <w:sz w:val="28"/>
          <w:szCs w:val="28"/>
          <w:u w:color="FFFFFF"/>
        </w:rPr>
      </w:pPr>
      <w:r>
        <w:rPr>
          <w:rFonts w:hint="eastAsia" w:ascii="仿宋_GB2312" w:hAnsi="宋体" w:eastAsia="仿宋_GB2312" w:cs="仿宋_GB2312"/>
          <w:kern w:val="2"/>
          <w:sz w:val="28"/>
          <w:szCs w:val="28"/>
          <w:u w:color="FFFFFF"/>
        </w:rPr>
        <w:t>本</w:t>
      </w:r>
      <w:r>
        <w:rPr>
          <w:rFonts w:hint="eastAsia" w:ascii="仿宋_GB2312" w:hAnsi="宋体" w:eastAsia="仿宋_GB2312" w:cs="仿宋_GB2312"/>
          <w:sz w:val="28"/>
          <w:szCs w:val="28"/>
          <w:highlight w:val="none"/>
        </w:rPr>
        <w:t>文件</w:t>
      </w:r>
      <w:r>
        <w:rPr>
          <w:rFonts w:hint="eastAsia" w:ascii="仿宋_GB2312" w:hAnsi="宋体" w:eastAsia="仿宋_GB2312" w:cs="仿宋_GB2312"/>
          <w:kern w:val="2"/>
          <w:sz w:val="28"/>
          <w:szCs w:val="28"/>
          <w:u w:color="FFFFFF"/>
        </w:rPr>
        <w:t>所引用的规范性引用文件如下：</w:t>
      </w:r>
    </w:p>
    <w:p>
      <w:pPr>
        <w:pStyle w:val="26"/>
        <w:spacing w:line="460" w:lineRule="exact"/>
        <w:ind w:firstLine="560"/>
        <w:rPr>
          <w:rFonts w:hint="eastAsia" w:ascii="仿宋_GB2312" w:hAnsi="宋体" w:eastAsia="仿宋_GB2312" w:cs="仿宋_GB2312"/>
          <w:kern w:val="2"/>
          <w:sz w:val="28"/>
          <w:szCs w:val="28"/>
          <w:u w:color="FFFFFF"/>
        </w:rPr>
      </w:pPr>
      <w:r>
        <w:rPr>
          <w:rFonts w:hint="eastAsia" w:ascii="仿宋_GB2312" w:hAnsi="宋体" w:eastAsia="仿宋_GB2312" w:cs="仿宋_GB2312"/>
          <w:kern w:val="2"/>
          <w:sz w:val="28"/>
          <w:szCs w:val="28"/>
          <w:u w:color="FFFFFF"/>
        </w:rPr>
        <w:t>ISO 5636-5 纸和纸板 透气度的测定（中等范围） 第5部分：葛尓莱法（Paper and board—Determination of air permeance (medium range)—Part 5: Gurley method</w:t>
      </w:r>
    </w:p>
    <w:p>
      <w:pPr>
        <w:pStyle w:val="6"/>
        <w:spacing w:line="460" w:lineRule="exact"/>
        <w:ind w:right="1040" w:firstLine="560" w:firstLineChars="200"/>
        <w:jc w:val="left"/>
        <w:rPr>
          <w:rFonts w:hint="eastAsia" w:ascii="仿宋_GB2312" w:hAnsi="宋体" w:eastAsia="仿宋_GB2312" w:cs="仿宋_GB2312"/>
          <w:kern w:val="2"/>
          <w:sz w:val="28"/>
          <w:szCs w:val="28"/>
          <w:highlight w:val="yellow"/>
          <w:u w:color="FFFFFF"/>
          <w:lang w:val="en-US" w:eastAsia="zh-CN" w:bidi="ar-SA"/>
        </w:rPr>
      </w:pPr>
      <w:r>
        <w:rPr>
          <w:rFonts w:hint="eastAsia" w:ascii="仿宋_GB2312" w:hAnsi="宋体" w:eastAsia="仿宋_GB2312" w:cs="仿宋_GB2312"/>
          <w:kern w:val="2"/>
          <w:sz w:val="28"/>
          <w:szCs w:val="28"/>
          <w:highlight w:val="yellow"/>
          <w:u w:color="FFFFFF"/>
          <w:lang w:val="en-US" w:eastAsia="zh-CN" w:bidi="ar-SA"/>
        </w:rPr>
        <w:t>GB/T 19633.2-XXXX《最终灭菌医疗器械包装 第2部分：成型、密封和装配过程的确认的要求》（ISO 11607-2:2019,IDT）</w:t>
      </w:r>
    </w:p>
    <w:p>
      <w:pPr>
        <w:pStyle w:val="6"/>
        <w:spacing w:line="460" w:lineRule="exact"/>
        <w:ind w:right="1040" w:firstLine="560" w:firstLineChars="200"/>
        <w:jc w:val="both"/>
        <w:rPr>
          <w:rFonts w:hint="eastAsia" w:ascii="仿宋_GB2312" w:hAnsi="宋体" w:eastAsia="仿宋_GB2312" w:cs="仿宋_GB2312"/>
          <w:sz w:val="28"/>
          <w:szCs w:val="28"/>
          <w:u w:color="FFFFFF"/>
          <w:lang w:eastAsia="zh-CN"/>
        </w:rPr>
      </w:pPr>
    </w:p>
    <w:p>
      <w:pPr>
        <w:pStyle w:val="6"/>
        <w:spacing w:line="460" w:lineRule="exact"/>
        <w:ind w:left="4195" w:leftChars="931" w:right="1040" w:hanging="2240" w:hangingChars="800"/>
        <w:jc w:val="both"/>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《最终灭菌医疗器械包装</w:t>
      </w:r>
      <w:r>
        <w:rPr>
          <w:rFonts w:hint="eastAsia" w:ascii="仿宋_GB2312" w:hAnsi="宋体" w:eastAsia="仿宋_GB2312" w:cs="仿宋_GB2312"/>
          <w:sz w:val="28"/>
          <w:szCs w:val="28"/>
          <w:u w:color="FFFFFF"/>
          <w:lang w:val="en-US" w:eastAsia="zh-CN"/>
        </w:rPr>
        <w:t xml:space="preserve"> </w:t>
      </w:r>
      <w:r>
        <w:rPr>
          <w:rFonts w:hint="eastAsia" w:ascii="仿宋_GB2312" w:hAnsi="宋体" w:eastAsia="仿宋_GB2312" w:cs="仿宋_GB2312"/>
          <w:sz w:val="28"/>
          <w:szCs w:val="28"/>
          <w:u w:color="FFFFFF"/>
        </w:rPr>
        <w:t>第1部分：材料、</w:t>
      </w:r>
      <w:r>
        <w:rPr>
          <w:rFonts w:hint="eastAsia" w:ascii="仿宋_GB2312" w:hAnsi="宋体" w:eastAsia="仿宋_GB2312" w:cs="仿宋_GB2312"/>
          <w:sz w:val="28"/>
          <w:szCs w:val="28"/>
          <w:u w:color="FFFFFF"/>
          <w:lang w:val="en-US" w:eastAsia="zh-CN"/>
        </w:rPr>
        <w:t>无</w:t>
      </w:r>
      <w:r>
        <w:rPr>
          <w:rFonts w:hint="eastAsia" w:ascii="仿宋_GB2312" w:hAnsi="宋体" w:eastAsia="仿宋_GB2312" w:cs="仿宋_GB2312"/>
          <w:sz w:val="28"/>
          <w:szCs w:val="28"/>
          <w:u w:color="FFFFFF"/>
        </w:rPr>
        <w:t>菌屏障系统和包装系统的要求》起草小组</w:t>
      </w:r>
    </w:p>
    <w:p>
      <w:pPr>
        <w:pStyle w:val="6"/>
        <w:spacing w:line="460" w:lineRule="exact"/>
        <w:ind w:right="480"/>
        <w:jc w:val="right"/>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2022</w:t>
      </w:r>
      <w:r>
        <w:rPr>
          <w:rFonts w:ascii="仿宋_GB2312" w:hAnsi="宋体" w:eastAsia="仿宋_GB2312" w:cs="仿宋_GB2312"/>
          <w:sz w:val="28"/>
          <w:szCs w:val="28"/>
          <w:u w:color="FFFFFF"/>
        </w:rPr>
        <w:t>年</w:t>
      </w:r>
      <w:r>
        <w:rPr>
          <w:rFonts w:hint="eastAsia" w:ascii="仿宋_GB2312" w:hAnsi="宋体" w:eastAsia="仿宋_GB2312" w:cs="仿宋_GB2312"/>
          <w:sz w:val="28"/>
          <w:szCs w:val="28"/>
          <w:u w:color="FFFFFF"/>
        </w:rPr>
        <w:t>X</w:t>
      </w:r>
      <w:r>
        <w:rPr>
          <w:rFonts w:ascii="仿宋_GB2312" w:hAnsi="宋体" w:eastAsia="仿宋_GB2312" w:cs="仿宋_GB2312"/>
          <w:sz w:val="28"/>
          <w:szCs w:val="28"/>
          <w:u w:color="FFFFFF"/>
        </w:rPr>
        <w:t>月</w:t>
      </w:r>
      <w:r>
        <w:rPr>
          <w:rFonts w:hint="eastAsia" w:ascii="仿宋_GB2312" w:hAnsi="宋体" w:eastAsia="仿宋_GB2312" w:cs="仿宋_GB2312"/>
          <w:sz w:val="28"/>
          <w:szCs w:val="28"/>
          <w:u w:color="FFFFFF"/>
        </w:rPr>
        <w:t>X</w:t>
      </w:r>
      <w:r>
        <w:rPr>
          <w:rFonts w:ascii="仿宋_GB2312" w:hAnsi="宋体" w:eastAsia="仿宋_GB2312" w:cs="仿宋_GB2312"/>
          <w:sz w:val="28"/>
          <w:szCs w:val="28"/>
          <w:u w:color="FFFFFF"/>
        </w:rPr>
        <w:t>日</w:t>
      </w:r>
    </w:p>
    <w:sectPr>
      <w:headerReference r:id="rId3" w:type="default"/>
      <w:footerReference r:id="rId4" w:type="default"/>
      <w:pgSz w:w="11906" w:h="16838"/>
      <w:pgMar w:top="1418" w:right="851"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7"/>
      </w:rPr>
    </w:pPr>
    <w:r>
      <w:rPr>
        <w:rStyle w:val="17"/>
      </w:rPr>
      <w:fldChar w:fldCharType="begin"/>
    </w:r>
    <w:r>
      <w:rPr>
        <w:rStyle w:val="17"/>
      </w:rPr>
      <w:instrText xml:space="preserve">PAGE  </w:instrText>
    </w:r>
    <w:r>
      <w:rPr>
        <w:rStyle w:val="17"/>
      </w:rPr>
      <w:fldChar w:fldCharType="separate"/>
    </w:r>
    <w:r>
      <w:rPr>
        <w:rStyle w:val="17"/>
      </w:rPr>
      <w:t>3</w:t>
    </w:r>
    <w:r>
      <w:rPr>
        <w:rStyle w:val="17"/>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right="105"/>
      <w:jc w:val="righ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oNotHyphenateCaps/>
  <w:drawingGridHorizontalSpacing w:val="0"/>
  <w:drawingGridVerticalSpacing w:val="156"/>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36B"/>
    <w:rsid w:val="00011FE1"/>
    <w:rsid w:val="00012036"/>
    <w:rsid w:val="00012B8B"/>
    <w:rsid w:val="0001397F"/>
    <w:rsid w:val="00016D5A"/>
    <w:rsid w:val="00016DB5"/>
    <w:rsid w:val="00021247"/>
    <w:rsid w:val="00023824"/>
    <w:rsid w:val="000409CB"/>
    <w:rsid w:val="000421A8"/>
    <w:rsid w:val="00046FF8"/>
    <w:rsid w:val="000672B3"/>
    <w:rsid w:val="000731B9"/>
    <w:rsid w:val="000820FF"/>
    <w:rsid w:val="00082201"/>
    <w:rsid w:val="00082501"/>
    <w:rsid w:val="00091C1F"/>
    <w:rsid w:val="00092890"/>
    <w:rsid w:val="00092CEA"/>
    <w:rsid w:val="00097628"/>
    <w:rsid w:val="000C14C9"/>
    <w:rsid w:val="000C1CE1"/>
    <w:rsid w:val="000D4D8A"/>
    <w:rsid w:val="000E13EE"/>
    <w:rsid w:val="000E2BFB"/>
    <w:rsid w:val="00121E2A"/>
    <w:rsid w:val="00123007"/>
    <w:rsid w:val="001242BC"/>
    <w:rsid w:val="00126E0D"/>
    <w:rsid w:val="00140154"/>
    <w:rsid w:val="00141DEB"/>
    <w:rsid w:val="00154BE4"/>
    <w:rsid w:val="00170A56"/>
    <w:rsid w:val="00172A27"/>
    <w:rsid w:val="001744D4"/>
    <w:rsid w:val="0017497C"/>
    <w:rsid w:val="00174BD7"/>
    <w:rsid w:val="0018547D"/>
    <w:rsid w:val="00196DC1"/>
    <w:rsid w:val="001A0755"/>
    <w:rsid w:val="001A1B24"/>
    <w:rsid w:val="001A317C"/>
    <w:rsid w:val="001B2E63"/>
    <w:rsid w:val="001C0D63"/>
    <w:rsid w:val="001C1F11"/>
    <w:rsid w:val="001D1A3D"/>
    <w:rsid w:val="001D7FAA"/>
    <w:rsid w:val="001F1DC8"/>
    <w:rsid w:val="00200EF6"/>
    <w:rsid w:val="00207FB7"/>
    <w:rsid w:val="0021238E"/>
    <w:rsid w:val="00215DDF"/>
    <w:rsid w:val="00216854"/>
    <w:rsid w:val="002211F5"/>
    <w:rsid w:val="00224E32"/>
    <w:rsid w:val="00226C69"/>
    <w:rsid w:val="002277E2"/>
    <w:rsid w:val="00230793"/>
    <w:rsid w:val="002438BC"/>
    <w:rsid w:val="00291938"/>
    <w:rsid w:val="002A2FE9"/>
    <w:rsid w:val="002D7B41"/>
    <w:rsid w:val="002E4FB1"/>
    <w:rsid w:val="00302A16"/>
    <w:rsid w:val="003106B6"/>
    <w:rsid w:val="003500CE"/>
    <w:rsid w:val="00353594"/>
    <w:rsid w:val="00353C01"/>
    <w:rsid w:val="00364D38"/>
    <w:rsid w:val="00376F9E"/>
    <w:rsid w:val="00381A73"/>
    <w:rsid w:val="003B1047"/>
    <w:rsid w:val="003C0116"/>
    <w:rsid w:val="003C0CA1"/>
    <w:rsid w:val="003C37CC"/>
    <w:rsid w:val="003D1665"/>
    <w:rsid w:val="003E3D4A"/>
    <w:rsid w:val="003F025B"/>
    <w:rsid w:val="004012DD"/>
    <w:rsid w:val="00416754"/>
    <w:rsid w:val="00420533"/>
    <w:rsid w:val="004216A7"/>
    <w:rsid w:val="004251E2"/>
    <w:rsid w:val="00457832"/>
    <w:rsid w:val="0047487D"/>
    <w:rsid w:val="0047569D"/>
    <w:rsid w:val="0048081D"/>
    <w:rsid w:val="004820BB"/>
    <w:rsid w:val="00487EC2"/>
    <w:rsid w:val="004A56EF"/>
    <w:rsid w:val="004B2BBF"/>
    <w:rsid w:val="004B4729"/>
    <w:rsid w:val="004E134B"/>
    <w:rsid w:val="004E4176"/>
    <w:rsid w:val="004E5BCD"/>
    <w:rsid w:val="004E622F"/>
    <w:rsid w:val="004F328A"/>
    <w:rsid w:val="005024C5"/>
    <w:rsid w:val="0051792D"/>
    <w:rsid w:val="00531F31"/>
    <w:rsid w:val="005335D9"/>
    <w:rsid w:val="005419CF"/>
    <w:rsid w:val="00545AE0"/>
    <w:rsid w:val="00553E68"/>
    <w:rsid w:val="0055524E"/>
    <w:rsid w:val="00562D45"/>
    <w:rsid w:val="00572FA0"/>
    <w:rsid w:val="00581046"/>
    <w:rsid w:val="005950E1"/>
    <w:rsid w:val="005A18A7"/>
    <w:rsid w:val="005A3C52"/>
    <w:rsid w:val="005A6D1E"/>
    <w:rsid w:val="005A7677"/>
    <w:rsid w:val="005B4A3A"/>
    <w:rsid w:val="005C0CD9"/>
    <w:rsid w:val="005C7965"/>
    <w:rsid w:val="005C7DAB"/>
    <w:rsid w:val="005D468C"/>
    <w:rsid w:val="005D6C54"/>
    <w:rsid w:val="005D7D58"/>
    <w:rsid w:val="00614F3E"/>
    <w:rsid w:val="006235E5"/>
    <w:rsid w:val="0063105B"/>
    <w:rsid w:val="006370F2"/>
    <w:rsid w:val="006412A8"/>
    <w:rsid w:val="006417B2"/>
    <w:rsid w:val="006462E4"/>
    <w:rsid w:val="00664178"/>
    <w:rsid w:val="006644B0"/>
    <w:rsid w:val="00675F0E"/>
    <w:rsid w:val="00684552"/>
    <w:rsid w:val="0069422A"/>
    <w:rsid w:val="0069794D"/>
    <w:rsid w:val="006A2FF0"/>
    <w:rsid w:val="006B02EA"/>
    <w:rsid w:val="006B4064"/>
    <w:rsid w:val="006B4D27"/>
    <w:rsid w:val="006B7B6E"/>
    <w:rsid w:val="006C28CA"/>
    <w:rsid w:val="006C4513"/>
    <w:rsid w:val="006C519E"/>
    <w:rsid w:val="006E66F3"/>
    <w:rsid w:val="006E72C4"/>
    <w:rsid w:val="006F04E1"/>
    <w:rsid w:val="0070121B"/>
    <w:rsid w:val="007068E4"/>
    <w:rsid w:val="0070744F"/>
    <w:rsid w:val="007140E0"/>
    <w:rsid w:val="007178A5"/>
    <w:rsid w:val="00721B1B"/>
    <w:rsid w:val="00726EFB"/>
    <w:rsid w:val="00730B96"/>
    <w:rsid w:val="007542F0"/>
    <w:rsid w:val="00756720"/>
    <w:rsid w:val="00761AC7"/>
    <w:rsid w:val="00772DF3"/>
    <w:rsid w:val="00777980"/>
    <w:rsid w:val="00785C80"/>
    <w:rsid w:val="00785CE6"/>
    <w:rsid w:val="007879E9"/>
    <w:rsid w:val="0079525F"/>
    <w:rsid w:val="007B4181"/>
    <w:rsid w:val="007B6FF1"/>
    <w:rsid w:val="007B796F"/>
    <w:rsid w:val="007C0F48"/>
    <w:rsid w:val="007C468C"/>
    <w:rsid w:val="007D3FD1"/>
    <w:rsid w:val="007E64F0"/>
    <w:rsid w:val="007F44C4"/>
    <w:rsid w:val="00833842"/>
    <w:rsid w:val="00833B52"/>
    <w:rsid w:val="00834B4D"/>
    <w:rsid w:val="008364BE"/>
    <w:rsid w:val="00837D56"/>
    <w:rsid w:val="00844779"/>
    <w:rsid w:val="008579FC"/>
    <w:rsid w:val="00876A57"/>
    <w:rsid w:val="00877ACA"/>
    <w:rsid w:val="008931C5"/>
    <w:rsid w:val="008958AE"/>
    <w:rsid w:val="00896EBD"/>
    <w:rsid w:val="008A1425"/>
    <w:rsid w:val="008A439A"/>
    <w:rsid w:val="008A5C0B"/>
    <w:rsid w:val="008A7A33"/>
    <w:rsid w:val="008B4DDA"/>
    <w:rsid w:val="008C07BC"/>
    <w:rsid w:val="008C1C94"/>
    <w:rsid w:val="008D3E1A"/>
    <w:rsid w:val="008E286F"/>
    <w:rsid w:val="008E2D1D"/>
    <w:rsid w:val="009011DC"/>
    <w:rsid w:val="00902F27"/>
    <w:rsid w:val="009037A1"/>
    <w:rsid w:val="00910434"/>
    <w:rsid w:val="00914171"/>
    <w:rsid w:val="009206B8"/>
    <w:rsid w:val="0092371B"/>
    <w:rsid w:val="00923817"/>
    <w:rsid w:val="00933A5E"/>
    <w:rsid w:val="00934CDF"/>
    <w:rsid w:val="00943B45"/>
    <w:rsid w:val="009539FB"/>
    <w:rsid w:val="00975124"/>
    <w:rsid w:val="009A4EF4"/>
    <w:rsid w:val="009C0B09"/>
    <w:rsid w:val="009C36BC"/>
    <w:rsid w:val="009C68ED"/>
    <w:rsid w:val="009D7D9D"/>
    <w:rsid w:val="009F6C21"/>
    <w:rsid w:val="00A00BDA"/>
    <w:rsid w:val="00A00C40"/>
    <w:rsid w:val="00A12FA4"/>
    <w:rsid w:val="00A21CC9"/>
    <w:rsid w:val="00A240D3"/>
    <w:rsid w:val="00A40C46"/>
    <w:rsid w:val="00A42675"/>
    <w:rsid w:val="00A533F6"/>
    <w:rsid w:val="00A63A20"/>
    <w:rsid w:val="00A803B5"/>
    <w:rsid w:val="00A80D6F"/>
    <w:rsid w:val="00A823B7"/>
    <w:rsid w:val="00A8459A"/>
    <w:rsid w:val="00A902AC"/>
    <w:rsid w:val="00A90C69"/>
    <w:rsid w:val="00AA1440"/>
    <w:rsid w:val="00AA191E"/>
    <w:rsid w:val="00AB49BC"/>
    <w:rsid w:val="00AD3E27"/>
    <w:rsid w:val="00AD3F91"/>
    <w:rsid w:val="00AE3079"/>
    <w:rsid w:val="00AE3A1A"/>
    <w:rsid w:val="00AE3E54"/>
    <w:rsid w:val="00AF2C2E"/>
    <w:rsid w:val="00B0344D"/>
    <w:rsid w:val="00B102A2"/>
    <w:rsid w:val="00B22AAB"/>
    <w:rsid w:val="00B2739E"/>
    <w:rsid w:val="00B27873"/>
    <w:rsid w:val="00B35187"/>
    <w:rsid w:val="00B44BEE"/>
    <w:rsid w:val="00B76D0E"/>
    <w:rsid w:val="00B814D3"/>
    <w:rsid w:val="00B82568"/>
    <w:rsid w:val="00B846D9"/>
    <w:rsid w:val="00B916F1"/>
    <w:rsid w:val="00B941CF"/>
    <w:rsid w:val="00B9612D"/>
    <w:rsid w:val="00BA3D8B"/>
    <w:rsid w:val="00BB07ED"/>
    <w:rsid w:val="00BC13E0"/>
    <w:rsid w:val="00BC342E"/>
    <w:rsid w:val="00BC427D"/>
    <w:rsid w:val="00BC5E2D"/>
    <w:rsid w:val="00BD3979"/>
    <w:rsid w:val="00BD3F24"/>
    <w:rsid w:val="00BD7BDC"/>
    <w:rsid w:val="00BE2908"/>
    <w:rsid w:val="00BE37CF"/>
    <w:rsid w:val="00BE4152"/>
    <w:rsid w:val="00BF2CDE"/>
    <w:rsid w:val="00BF46D9"/>
    <w:rsid w:val="00C00B07"/>
    <w:rsid w:val="00C03605"/>
    <w:rsid w:val="00C05C54"/>
    <w:rsid w:val="00C17CE9"/>
    <w:rsid w:val="00C2407F"/>
    <w:rsid w:val="00C2508E"/>
    <w:rsid w:val="00C25782"/>
    <w:rsid w:val="00C25C86"/>
    <w:rsid w:val="00C26D86"/>
    <w:rsid w:val="00C43C71"/>
    <w:rsid w:val="00C44865"/>
    <w:rsid w:val="00C51A6D"/>
    <w:rsid w:val="00C56EF2"/>
    <w:rsid w:val="00C61AE4"/>
    <w:rsid w:val="00C63C65"/>
    <w:rsid w:val="00C71E70"/>
    <w:rsid w:val="00C771DE"/>
    <w:rsid w:val="00C81AB3"/>
    <w:rsid w:val="00C96484"/>
    <w:rsid w:val="00CA3597"/>
    <w:rsid w:val="00CA387E"/>
    <w:rsid w:val="00CA65D7"/>
    <w:rsid w:val="00CB51D3"/>
    <w:rsid w:val="00CB78A3"/>
    <w:rsid w:val="00CC3AB5"/>
    <w:rsid w:val="00CD0AF5"/>
    <w:rsid w:val="00CE0C79"/>
    <w:rsid w:val="00CF1421"/>
    <w:rsid w:val="00CF560E"/>
    <w:rsid w:val="00CF5DFF"/>
    <w:rsid w:val="00CF7984"/>
    <w:rsid w:val="00D02891"/>
    <w:rsid w:val="00D25C7C"/>
    <w:rsid w:val="00D27598"/>
    <w:rsid w:val="00D27DF8"/>
    <w:rsid w:val="00D30049"/>
    <w:rsid w:val="00D3050A"/>
    <w:rsid w:val="00D55B43"/>
    <w:rsid w:val="00D6049F"/>
    <w:rsid w:val="00D778F4"/>
    <w:rsid w:val="00D82CCD"/>
    <w:rsid w:val="00D849EB"/>
    <w:rsid w:val="00D92763"/>
    <w:rsid w:val="00D942B4"/>
    <w:rsid w:val="00D976CB"/>
    <w:rsid w:val="00DB3CE6"/>
    <w:rsid w:val="00DC02F6"/>
    <w:rsid w:val="00DC03DC"/>
    <w:rsid w:val="00DE16DD"/>
    <w:rsid w:val="00DF178D"/>
    <w:rsid w:val="00DF37FE"/>
    <w:rsid w:val="00DF583E"/>
    <w:rsid w:val="00E11A60"/>
    <w:rsid w:val="00E14659"/>
    <w:rsid w:val="00E249A7"/>
    <w:rsid w:val="00E33195"/>
    <w:rsid w:val="00E43028"/>
    <w:rsid w:val="00E50971"/>
    <w:rsid w:val="00E578AB"/>
    <w:rsid w:val="00E66EDC"/>
    <w:rsid w:val="00E7079E"/>
    <w:rsid w:val="00E77D4A"/>
    <w:rsid w:val="00E83D2B"/>
    <w:rsid w:val="00EB0841"/>
    <w:rsid w:val="00EB5800"/>
    <w:rsid w:val="00EB74B4"/>
    <w:rsid w:val="00EE2B5F"/>
    <w:rsid w:val="00EF0DD8"/>
    <w:rsid w:val="00EF3E87"/>
    <w:rsid w:val="00F0054E"/>
    <w:rsid w:val="00F277A9"/>
    <w:rsid w:val="00F27D14"/>
    <w:rsid w:val="00F41264"/>
    <w:rsid w:val="00F47532"/>
    <w:rsid w:val="00F626B3"/>
    <w:rsid w:val="00F741A9"/>
    <w:rsid w:val="00F77D70"/>
    <w:rsid w:val="00F82A2A"/>
    <w:rsid w:val="00F919BA"/>
    <w:rsid w:val="00FB209E"/>
    <w:rsid w:val="00FD0173"/>
    <w:rsid w:val="00FE335F"/>
    <w:rsid w:val="00FE6931"/>
    <w:rsid w:val="00FF2984"/>
    <w:rsid w:val="04CA5283"/>
    <w:rsid w:val="058774CE"/>
    <w:rsid w:val="09EF0D5E"/>
    <w:rsid w:val="0A1E3ED5"/>
    <w:rsid w:val="0AB04DDD"/>
    <w:rsid w:val="0E4F0580"/>
    <w:rsid w:val="0E6F5ED8"/>
    <w:rsid w:val="0F847DE1"/>
    <w:rsid w:val="1006528A"/>
    <w:rsid w:val="12627C46"/>
    <w:rsid w:val="12F301CD"/>
    <w:rsid w:val="1F166D1B"/>
    <w:rsid w:val="22612B4A"/>
    <w:rsid w:val="251F0C30"/>
    <w:rsid w:val="2E4037FA"/>
    <w:rsid w:val="2EB0315A"/>
    <w:rsid w:val="364A35D1"/>
    <w:rsid w:val="37DC1ABE"/>
    <w:rsid w:val="41AD130B"/>
    <w:rsid w:val="44D609FC"/>
    <w:rsid w:val="458E110D"/>
    <w:rsid w:val="4BB44FD2"/>
    <w:rsid w:val="4C9E3BD5"/>
    <w:rsid w:val="4CAF26B2"/>
    <w:rsid w:val="4E4F1568"/>
    <w:rsid w:val="4FB4231B"/>
    <w:rsid w:val="509310B0"/>
    <w:rsid w:val="529E2FDB"/>
    <w:rsid w:val="5450027D"/>
    <w:rsid w:val="54D31BC2"/>
    <w:rsid w:val="57556721"/>
    <w:rsid w:val="58A9394F"/>
    <w:rsid w:val="5B333BCE"/>
    <w:rsid w:val="5CC552F7"/>
    <w:rsid w:val="5CEC00A5"/>
    <w:rsid w:val="5D745C18"/>
    <w:rsid w:val="628D1238"/>
    <w:rsid w:val="646B0036"/>
    <w:rsid w:val="6C34403F"/>
    <w:rsid w:val="741C30FB"/>
    <w:rsid w:val="78A842A0"/>
    <w:rsid w:val="7A751713"/>
    <w:rsid w:val="7CD06E8B"/>
    <w:rsid w:val="7E1E3553"/>
    <w:rsid w:val="7E414BFF"/>
    <w:rsid w:val="7F620D0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9"/>
    <w:qFormat/>
    <w:uiPriority w:val="99"/>
    <w:pPr>
      <w:keepNext/>
      <w:tabs>
        <w:tab w:val="left" w:pos="1080"/>
      </w:tabs>
      <w:jc w:val="center"/>
      <w:outlineLvl w:val="0"/>
    </w:pPr>
    <w:rPr>
      <w:rFonts w:eastAsia="黑体"/>
      <w:sz w:val="32"/>
      <w:szCs w:val="32"/>
    </w:rPr>
  </w:style>
  <w:style w:type="paragraph" w:styleId="3">
    <w:name w:val="heading 2"/>
    <w:basedOn w:val="1"/>
    <w:next w:val="1"/>
    <w:link w:val="20"/>
    <w:qFormat/>
    <w:uiPriority w:val="99"/>
    <w:pPr>
      <w:keepNext/>
      <w:tabs>
        <w:tab w:val="left" w:pos="720"/>
      </w:tabs>
      <w:jc w:val="center"/>
      <w:outlineLvl w:val="1"/>
    </w:pPr>
    <w:rPr>
      <w:rFonts w:ascii="黑体" w:eastAsia="黑体" w:cs="黑体"/>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annotation text"/>
    <w:basedOn w:val="1"/>
    <w:link w:val="30"/>
    <w:qFormat/>
    <w:uiPriority w:val="99"/>
    <w:pPr>
      <w:jc w:val="left"/>
    </w:pPr>
  </w:style>
  <w:style w:type="paragraph" w:styleId="6">
    <w:name w:val="Body Text"/>
    <w:basedOn w:val="1"/>
    <w:link w:val="34"/>
    <w:qFormat/>
    <w:uiPriority w:val="99"/>
    <w:pPr>
      <w:jc w:val="center"/>
    </w:pPr>
    <w:rPr>
      <w:sz w:val="84"/>
      <w:szCs w:val="84"/>
    </w:rPr>
  </w:style>
  <w:style w:type="paragraph" w:styleId="7">
    <w:name w:val="Body Text Indent"/>
    <w:basedOn w:val="1"/>
    <w:link w:val="42"/>
    <w:qFormat/>
    <w:uiPriority w:val="99"/>
    <w:pPr>
      <w:spacing w:line="360" w:lineRule="auto"/>
      <w:ind w:left="2400" w:hanging="2400" w:hangingChars="1000"/>
    </w:pPr>
    <w:rPr>
      <w:sz w:val="24"/>
      <w:szCs w:val="24"/>
    </w:rPr>
  </w:style>
  <w:style w:type="paragraph" w:styleId="8">
    <w:name w:val="Date"/>
    <w:basedOn w:val="1"/>
    <w:next w:val="1"/>
    <w:link w:val="50"/>
    <w:uiPriority w:val="99"/>
    <w:pPr>
      <w:ind w:left="100" w:leftChars="2500"/>
    </w:pPr>
    <w:rPr>
      <w:sz w:val="24"/>
      <w:szCs w:val="24"/>
    </w:rPr>
  </w:style>
  <w:style w:type="paragraph" w:styleId="9">
    <w:name w:val="Body Text Indent 2"/>
    <w:basedOn w:val="1"/>
    <w:link w:val="43"/>
    <w:qFormat/>
    <w:uiPriority w:val="99"/>
    <w:pPr>
      <w:spacing w:line="360" w:lineRule="auto"/>
      <w:ind w:firstLine="360" w:firstLineChars="150"/>
    </w:pPr>
    <w:rPr>
      <w:sz w:val="24"/>
      <w:szCs w:val="24"/>
    </w:rPr>
  </w:style>
  <w:style w:type="paragraph" w:styleId="10">
    <w:name w:val="Balloon Text"/>
    <w:basedOn w:val="1"/>
    <w:link w:val="49"/>
    <w:semiHidden/>
    <w:uiPriority w:val="99"/>
    <w:rPr>
      <w:sz w:val="18"/>
      <w:szCs w:val="18"/>
    </w:rPr>
  </w:style>
  <w:style w:type="paragraph" w:styleId="11">
    <w:name w:val="footer"/>
    <w:basedOn w:val="1"/>
    <w:link w:val="56"/>
    <w:qFormat/>
    <w:uiPriority w:val="99"/>
    <w:pPr>
      <w:tabs>
        <w:tab w:val="center" w:pos="4153"/>
        <w:tab w:val="right" w:pos="8306"/>
      </w:tabs>
      <w:snapToGrid w:val="0"/>
      <w:jc w:val="left"/>
    </w:pPr>
    <w:rPr>
      <w:sz w:val="18"/>
      <w:szCs w:val="18"/>
    </w:rPr>
  </w:style>
  <w:style w:type="paragraph" w:styleId="12">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41"/>
    <w:qFormat/>
    <w:uiPriority w:val="99"/>
    <w:pPr>
      <w:spacing w:line="360" w:lineRule="auto"/>
      <w:ind w:firstLine="480"/>
    </w:pPr>
  </w:style>
  <w:style w:type="paragraph" w:styleId="14">
    <w:name w:val="annotation subject"/>
    <w:basedOn w:val="5"/>
    <w:next w:val="5"/>
    <w:link w:val="54"/>
    <w:semiHidden/>
    <w:qFormat/>
    <w:uiPriority w:val="99"/>
    <w:rPr>
      <w:b/>
      <w:bCs/>
    </w:rPr>
  </w:style>
  <w:style w:type="character" w:styleId="17">
    <w:name w:val="page number"/>
    <w:basedOn w:val="16"/>
    <w:qFormat/>
    <w:uiPriority w:val="99"/>
  </w:style>
  <w:style w:type="character" w:styleId="18">
    <w:name w:val="annotation reference"/>
    <w:qFormat/>
    <w:uiPriority w:val="99"/>
    <w:rPr>
      <w:sz w:val="21"/>
      <w:szCs w:val="21"/>
    </w:rPr>
  </w:style>
  <w:style w:type="character" w:customStyle="1" w:styleId="19">
    <w:name w:val="标题 1 Char"/>
    <w:link w:val="2"/>
    <w:qFormat/>
    <w:locked/>
    <w:uiPriority w:val="99"/>
    <w:rPr>
      <w:b/>
      <w:bCs/>
      <w:kern w:val="44"/>
      <w:sz w:val="44"/>
      <w:szCs w:val="44"/>
    </w:rPr>
  </w:style>
  <w:style w:type="character" w:customStyle="1" w:styleId="20">
    <w:name w:val="标题 2 Char"/>
    <w:link w:val="3"/>
    <w:semiHidden/>
    <w:qFormat/>
    <w:locked/>
    <w:uiPriority w:val="99"/>
    <w:rPr>
      <w:rFonts w:ascii="Cambria" w:hAnsi="Cambria" w:eastAsia="宋体" w:cs="Cambria"/>
      <w:b/>
      <w:bCs/>
      <w:sz w:val="32"/>
      <w:szCs w:val="32"/>
    </w:rPr>
  </w:style>
  <w:style w:type="character" w:customStyle="1" w:styleId="21">
    <w:name w:val="发布"/>
    <w:qFormat/>
    <w:uiPriority w:val="99"/>
    <w:rPr>
      <w:rFonts w:ascii="黑体" w:eastAsia="黑体" w:cs="黑体"/>
      <w:spacing w:val="22"/>
      <w:w w:val="100"/>
      <w:position w:val="3"/>
      <w:sz w:val="28"/>
      <w:szCs w:val="28"/>
    </w:rPr>
  </w:style>
  <w:style w:type="paragraph" w:customStyle="1" w:styleId="22">
    <w:name w:val="三级条标题"/>
    <w:basedOn w:val="23"/>
    <w:next w:val="26"/>
    <w:qFormat/>
    <w:uiPriority w:val="0"/>
    <w:pPr>
      <w:tabs>
        <w:tab w:val="left" w:pos="1680"/>
        <w:tab w:val="left" w:pos="2100"/>
      </w:tabs>
      <w:ind w:left="2100"/>
      <w:outlineLvl w:val="4"/>
    </w:pPr>
  </w:style>
  <w:style w:type="paragraph" w:customStyle="1" w:styleId="23">
    <w:name w:val="二级条标题"/>
    <w:basedOn w:val="24"/>
    <w:next w:val="26"/>
    <w:qFormat/>
    <w:uiPriority w:val="99"/>
    <w:pPr>
      <w:tabs>
        <w:tab w:val="left" w:pos="1680"/>
      </w:tabs>
      <w:ind w:left="1680" w:hanging="420"/>
      <w:outlineLvl w:val="3"/>
    </w:pPr>
  </w:style>
  <w:style w:type="paragraph" w:customStyle="1" w:styleId="24">
    <w:name w:val="一级条标题"/>
    <w:basedOn w:val="25"/>
    <w:next w:val="26"/>
    <w:qFormat/>
    <w:uiPriority w:val="99"/>
    <w:pPr>
      <w:spacing w:beforeLines="0" w:afterLines="0"/>
      <w:outlineLvl w:val="2"/>
    </w:pPr>
  </w:style>
  <w:style w:type="paragraph" w:customStyle="1" w:styleId="25">
    <w:name w:val="章标题"/>
    <w:next w:val="26"/>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6">
    <w:name w:val="段"/>
    <w:link w:val="57"/>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27">
    <w:name w:val="四级条标题"/>
    <w:basedOn w:val="22"/>
    <w:next w:val="26"/>
    <w:qFormat/>
    <w:uiPriority w:val="99"/>
    <w:pPr>
      <w:tabs>
        <w:tab w:val="left" w:pos="2520"/>
        <w:tab w:val="clear" w:pos="2100"/>
      </w:tabs>
      <w:ind w:left="2520"/>
      <w:outlineLvl w:val="5"/>
    </w:pPr>
  </w:style>
  <w:style w:type="paragraph" w:customStyle="1" w:styleId="28">
    <w:name w:val="其他标准称谓"/>
    <w:qFormat/>
    <w:uiPriority w:val="99"/>
    <w:pPr>
      <w:spacing w:line="240" w:lineRule="atLeast"/>
      <w:jc w:val="distribute"/>
    </w:pPr>
    <w:rPr>
      <w:rFonts w:ascii="黑体" w:hAnsi="宋体" w:eastAsia="黑体" w:cs="黑体"/>
      <w:sz w:val="52"/>
      <w:szCs w:val="52"/>
      <w:lang w:val="en-US" w:eastAsia="zh-CN" w:bidi="ar-SA"/>
    </w:rPr>
  </w:style>
  <w:style w:type="paragraph" w:customStyle="1" w:styleId="29">
    <w:name w:val="封面标准文稿类别"/>
    <w:qFormat/>
    <w:uiPriority w:val="99"/>
    <w:pPr>
      <w:spacing w:before="440" w:line="400" w:lineRule="exact"/>
      <w:jc w:val="center"/>
    </w:pPr>
    <w:rPr>
      <w:rFonts w:ascii="宋体" w:hAnsi="Times New Roman" w:eastAsia="宋体" w:cs="宋体"/>
      <w:sz w:val="24"/>
      <w:szCs w:val="24"/>
      <w:lang w:val="en-US" w:eastAsia="zh-CN" w:bidi="ar-SA"/>
    </w:rPr>
  </w:style>
  <w:style w:type="character" w:customStyle="1" w:styleId="30">
    <w:name w:val="批注文字 Char"/>
    <w:link w:val="5"/>
    <w:qFormat/>
    <w:locked/>
    <w:uiPriority w:val="99"/>
    <w:rPr>
      <w:sz w:val="21"/>
      <w:szCs w:val="21"/>
    </w:rPr>
  </w:style>
  <w:style w:type="paragraph" w:customStyle="1" w:styleId="31">
    <w:name w:val="五级条标题"/>
    <w:basedOn w:val="27"/>
    <w:next w:val="26"/>
    <w:qFormat/>
    <w:uiPriority w:val="99"/>
    <w:pPr>
      <w:tabs>
        <w:tab w:val="left" w:pos="3570"/>
        <w:tab w:val="clear" w:pos="2520"/>
      </w:tabs>
      <w:ind w:left="3570"/>
      <w:outlineLvl w:val="6"/>
    </w:pPr>
  </w:style>
  <w:style w:type="paragraph" w:customStyle="1" w:styleId="32">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33">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character" w:customStyle="1" w:styleId="34">
    <w:name w:val="正文文本 Char"/>
    <w:link w:val="6"/>
    <w:semiHidden/>
    <w:qFormat/>
    <w:locked/>
    <w:uiPriority w:val="99"/>
    <w:rPr>
      <w:sz w:val="21"/>
      <w:szCs w:val="21"/>
    </w:rPr>
  </w:style>
  <w:style w:type="paragraph" w:customStyle="1" w:styleId="35">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6">
    <w:name w:val="发布部门"/>
    <w:next w:val="1"/>
    <w:qFormat/>
    <w:uiPriority w:val="99"/>
    <w:pPr>
      <w:jc w:val="center"/>
    </w:pPr>
    <w:rPr>
      <w:rFonts w:ascii="宋体" w:hAnsi="Times New Roman" w:eastAsia="宋体" w:cs="宋体"/>
      <w:b/>
      <w:bCs/>
      <w:spacing w:val="20"/>
      <w:w w:val="135"/>
      <w:sz w:val="36"/>
      <w:szCs w:val="36"/>
      <w:lang w:val="en-US" w:eastAsia="zh-CN" w:bidi="ar-SA"/>
    </w:rPr>
  </w:style>
  <w:style w:type="paragraph" w:customStyle="1" w:styleId="37">
    <w:name w:val="封面标准文稿编辑信息"/>
    <w:qFormat/>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38">
    <w:name w:val="发布日期"/>
    <w:qFormat/>
    <w:uiPriority w:val="99"/>
    <w:rPr>
      <w:rFonts w:ascii="Times New Roman" w:hAnsi="Times New Roman" w:eastAsia="黑体" w:cs="Times New Roman"/>
      <w:sz w:val="28"/>
      <w:szCs w:val="28"/>
      <w:lang w:val="en-US" w:eastAsia="zh-CN" w:bidi="ar-SA"/>
    </w:rPr>
  </w:style>
  <w:style w:type="paragraph" w:customStyle="1" w:styleId="39">
    <w:name w:val="附录A"/>
    <w:basedOn w:val="1"/>
    <w:qFormat/>
    <w:uiPriority w:val="99"/>
    <w:pPr>
      <w:spacing w:line="360" w:lineRule="auto"/>
      <w:ind w:left="357" w:hanging="357"/>
      <w:jc w:val="center"/>
      <w:outlineLvl w:val="0"/>
    </w:pPr>
    <w:rPr>
      <w:b/>
      <w:bCs/>
    </w:rPr>
  </w:style>
  <w:style w:type="character" w:customStyle="1" w:styleId="40">
    <w:name w:val="页眉 Char"/>
    <w:link w:val="12"/>
    <w:semiHidden/>
    <w:qFormat/>
    <w:locked/>
    <w:uiPriority w:val="99"/>
    <w:rPr>
      <w:sz w:val="18"/>
      <w:szCs w:val="18"/>
    </w:rPr>
  </w:style>
  <w:style w:type="character" w:customStyle="1" w:styleId="41">
    <w:name w:val="正文文本缩进 3 Char"/>
    <w:link w:val="13"/>
    <w:semiHidden/>
    <w:qFormat/>
    <w:locked/>
    <w:uiPriority w:val="99"/>
    <w:rPr>
      <w:sz w:val="16"/>
      <w:szCs w:val="16"/>
    </w:rPr>
  </w:style>
  <w:style w:type="character" w:customStyle="1" w:styleId="42">
    <w:name w:val="正文文本缩进 Char"/>
    <w:link w:val="7"/>
    <w:semiHidden/>
    <w:qFormat/>
    <w:locked/>
    <w:uiPriority w:val="99"/>
    <w:rPr>
      <w:sz w:val="21"/>
      <w:szCs w:val="21"/>
    </w:rPr>
  </w:style>
  <w:style w:type="character" w:customStyle="1" w:styleId="43">
    <w:name w:val="正文文本缩进 2 Char"/>
    <w:link w:val="9"/>
    <w:semiHidden/>
    <w:qFormat/>
    <w:locked/>
    <w:uiPriority w:val="99"/>
    <w:rPr>
      <w:sz w:val="21"/>
      <w:szCs w:val="21"/>
    </w:rPr>
  </w:style>
  <w:style w:type="paragraph" w:customStyle="1" w:styleId="44">
    <w:name w:val="实施日期"/>
    <w:basedOn w:val="38"/>
    <w:qFormat/>
    <w:uiPriority w:val="99"/>
    <w:pPr>
      <w:jc w:val="right"/>
    </w:pPr>
  </w:style>
  <w:style w:type="paragraph" w:customStyle="1" w:styleId="45">
    <w:name w:val="封面一致性程度标识"/>
    <w:qFormat/>
    <w:uiPriority w:val="99"/>
    <w:pPr>
      <w:spacing w:before="440" w:line="400" w:lineRule="exact"/>
      <w:jc w:val="center"/>
    </w:pPr>
    <w:rPr>
      <w:rFonts w:ascii="宋体" w:hAnsi="Times New Roman" w:eastAsia="宋体" w:cs="宋体"/>
      <w:sz w:val="28"/>
      <w:szCs w:val="28"/>
      <w:lang w:val="en-US" w:eastAsia="zh-CN" w:bidi="ar-SA"/>
    </w:rPr>
  </w:style>
  <w:style w:type="paragraph" w:customStyle="1" w:styleId="46">
    <w:name w:val="前言、引言标题"/>
    <w:next w:val="1"/>
    <w:qFormat/>
    <w:uiPriority w:val="99"/>
    <w:pPr>
      <w:shd w:val="clear" w:color="FFFFFF" w:fill="FFFFFF"/>
      <w:tabs>
        <w:tab w:val="left" w:pos="360"/>
      </w:tabs>
      <w:spacing w:before="640" w:after="560"/>
      <w:ind w:left="360" w:hanging="360"/>
      <w:jc w:val="center"/>
      <w:outlineLvl w:val="0"/>
    </w:pPr>
    <w:rPr>
      <w:rFonts w:ascii="黑体" w:hAnsi="Times New Roman" w:eastAsia="黑体" w:cs="黑体"/>
      <w:sz w:val="32"/>
      <w:szCs w:val="32"/>
      <w:lang w:val="en-US" w:eastAsia="zh-CN" w:bidi="ar-SA"/>
    </w:rPr>
  </w:style>
  <w:style w:type="paragraph" w:customStyle="1" w:styleId="47">
    <w:name w:val="标准标志"/>
    <w:next w:val="1"/>
    <w:qFormat/>
    <w:uiPriority w:val="99"/>
    <w:pPr>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48">
    <w:name w:val="目次、索引正文"/>
    <w:qFormat/>
    <w:uiPriority w:val="99"/>
    <w:pPr>
      <w:spacing w:line="320" w:lineRule="exact"/>
      <w:jc w:val="both"/>
    </w:pPr>
    <w:rPr>
      <w:rFonts w:ascii="宋体" w:hAnsi="Times New Roman" w:eastAsia="宋体" w:cs="宋体"/>
      <w:sz w:val="21"/>
      <w:szCs w:val="21"/>
      <w:lang w:val="en-US" w:eastAsia="zh-CN" w:bidi="ar-SA"/>
    </w:rPr>
  </w:style>
  <w:style w:type="character" w:customStyle="1" w:styleId="49">
    <w:name w:val="批注框文本 Char"/>
    <w:link w:val="10"/>
    <w:semiHidden/>
    <w:qFormat/>
    <w:locked/>
    <w:uiPriority w:val="99"/>
    <w:rPr>
      <w:sz w:val="2"/>
      <w:szCs w:val="2"/>
    </w:rPr>
  </w:style>
  <w:style w:type="character" w:customStyle="1" w:styleId="50">
    <w:name w:val="日期 Char"/>
    <w:link w:val="8"/>
    <w:semiHidden/>
    <w:qFormat/>
    <w:locked/>
    <w:uiPriority w:val="99"/>
    <w:rPr>
      <w:sz w:val="21"/>
      <w:szCs w:val="21"/>
    </w:rPr>
  </w:style>
  <w:style w:type="paragraph" w:customStyle="1" w:styleId="51">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52">
    <w:name w:val="目次、标准名称标题"/>
    <w:basedOn w:val="46"/>
    <w:next w:val="26"/>
    <w:qFormat/>
    <w:uiPriority w:val="99"/>
    <w:pPr>
      <w:spacing w:line="460" w:lineRule="exact"/>
      <w:ind w:left="0" w:firstLine="0"/>
    </w:pPr>
  </w:style>
  <w:style w:type="paragraph" w:customStyle="1" w:styleId="53">
    <w:name w:val="文献分类号"/>
    <w:qFormat/>
    <w:uiPriority w:val="99"/>
    <w:pPr>
      <w:widowControl w:val="0"/>
      <w:textAlignment w:val="center"/>
    </w:pPr>
    <w:rPr>
      <w:rFonts w:ascii="Times New Roman" w:hAnsi="Times New Roman" w:eastAsia="黑体" w:cs="Times New Roman"/>
      <w:sz w:val="21"/>
      <w:szCs w:val="21"/>
      <w:lang w:val="en-US" w:eastAsia="zh-CN" w:bidi="ar-SA"/>
    </w:rPr>
  </w:style>
  <w:style w:type="character" w:customStyle="1" w:styleId="54">
    <w:name w:val="批注主题 Char"/>
    <w:link w:val="14"/>
    <w:semiHidden/>
    <w:qFormat/>
    <w:locked/>
    <w:uiPriority w:val="99"/>
    <w:rPr>
      <w:b/>
      <w:bCs/>
      <w:sz w:val="21"/>
      <w:szCs w:val="21"/>
    </w:rPr>
  </w:style>
  <w:style w:type="paragraph" w:customStyle="1" w:styleId="55">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character" w:customStyle="1" w:styleId="56">
    <w:name w:val="页脚 Char"/>
    <w:link w:val="11"/>
    <w:semiHidden/>
    <w:qFormat/>
    <w:locked/>
    <w:uiPriority w:val="99"/>
    <w:rPr>
      <w:sz w:val="18"/>
      <w:szCs w:val="18"/>
    </w:rPr>
  </w:style>
  <w:style w:type="character" w:customStyle="1" w:styleId="57">
    <w:name w:val="段 Char"/>
    <w:link w:val="26"/>
    <w:qFormat/>
    <w:locked/>
    <w:uiPriority w:val="99"/>
    <w:rPr>
      <w:rFonts w:ascii="宋体" w:cs="宋体"/>
      <w:sz w:val="21"/>
      <w:szCs w:val="21"/>
      <w:lang w:val="en-US" w:eastAsia="zh-CN" w:bidi="ar-SA"/>
    </w:rPr>
  </w:style>
  <w:style w:type="paragraph" w:customStyle="1" w:styleId="58">
    <w:name w:val="列项——（一级）"/>
    <w:qFormat/>
    <w:uiPriority w:val="99"/>
    <w:pPr>
      <w:widowControl w:val="0"/>
      <w:numPr>
        <w:ilvl w:val="0"/>
        <w:numId w:val="1"/>
      </w:numPr>
      <w:jc w:val="both"/>
    </w:pPr>
    <w:rPr>
      <w:rFonts w:ascii="宋体" w:hAnsi="Times New Roman" w:eastAsia="宋体" w:cs="宋体"/>
      <w:sz w:val="21"/>
      <w:szCs w:val="21"/>
      <w:lang w:val="en-US" w:eastAsia="zh-CN" w:bidi="ar-SA"/>
    </w:rPr>
  </w:style>
  <w:style w:type="paragraph" w:customStyle="1" w:styleId="59">
    <w:name w:val="列项●（二级）"/>
    <w:qFormat/>
    <w:uiPriority w:val="99"/>
    <w:pPr>
      <w:numPr>
        <w:ilvl w:val="1"/>
        <w:numId w:val="1"/>
      </w:numPr>
      <w:tabs>
        <w:tab w:val="left" w:pos="840"/>
      </w:tabs>
      <w:jc w:val="both"/>
    </w:pPr>
    <w:rPr>
      <w:rFonts w:ascii="宋体" w:hAnsi="Times New Roman" w:eastAsia="宋体" w:cs="宋体"/>
      <w:sz w:val="21"/>
      <w:szCs w:val="21"/>
      <w:lang w:val="en-US" w:eastAsia="zh-CN" w:bidi="ar-SA"/>
    </w:rPr>
  </w:style>
  <w:style w:type="paragraph" w:customStyle="1" w:styleId="60">
    <w:name w:val="列项◆（三级）"/>
    <w:basedOn w:val="1"/>
    <w:qFormat/>
    <w:uiPriority w:val="99"/>
    <w:pPr>
      <w:numPr>
        <w:ilvl w:val="2"/>
        <w:numId w:val="1"/>
      </w:numPr>
    </w:pPr>
    <w:rPr>
      <w:rFonts w:ascii="宋体" w:cs="宋体"/>
    </w:rPr>
  </w:style>
  <w:style w:type="paragraph" w:styleId="6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senoh</Company>
  <Pages>3</Pages>
  <Words>358</Words>
  <Characters>2042</Characters>
  <Lines>17</Lines>
  <Paragraphs>4</Paragraphs>
  <TotalTime>6</TotalTime>
  <ScaleCrop>false</ScaleCrop>
  <LinksUpToDate>false</LinksUpToDate>
  <CharactersWithSpaces>2396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2019-12-16T14:24:00Z</dcterms:created>
  <dc:creator>千樱刘振健</dc:creator>
  <cp:lastModifiedBy>WPS_1639622393</cp:lastModifiedBy>
  <cp:lastPrinted>2009-11-23T02:17:00Z</cp:lastPrinted>
  <dcterms:modified xsi:type="dcterms:W3CDTF">2022-01-14T01:50:03Z</dcterms:modified>
  <dc:title>小型蒸汽灭菌器标准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