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napToGrid w:val="0"/>
        <w:spacing w:line="360" w:lineRule="auto"/>
        <w:rPr>
          <w:rFonts w:ascii="仿宋_GB2312" w:eastAsia="仿宋_GB2312" w:cs="仿宋_GB2312"/>
          <w:b/>
          <w:bCs/>
          <w:color w:val="000000"/>
          <w:sz w:val="32"/>
          <w:szCs w:val="32"/>
        </w:rPr>
      </w:pPr>
      <w:r>
        <w:rPr>
          <w:rFonts w:hint="eastAsia" w:ascii="仿宋_GB2312" w:eastAsia="仿宋_GB2312" w:cs="仿宋_GB2312"/>
          <w:b/>
          <w:bCs/>
          <w:color w:val="000000"/>
          <w:sz w:val="32"/>
          <w:szCs w:val="32"/>
        </w:rPr>
        <w:t xml:space="preserve"> 《最终灭菌医疗器械包装</w:t>
      </w:r>
    </w:p>
    <w:p>
      <w:pPr>
        <w:pStyle w:val="6"/>
        <w:snapToGrid w:val="0"/>
        <w:spacing w:line="360" w:lineRule="auto"/>
        <w:rPr>
          <w:rFonts w:ascii="仿宋_GB2312" w:hAnsi="宋体" w:eastAsia="仿宋_GB2312"/>
          <w:b/>
          <w:bCs/>
          <w:color w:val="000000"/>
          <w:sz w:val="32"/>
          <w:szCs w:val="32"/>
        </w:rPr>
      </w:pPr>
      <w:r>
        <w:rPr>
          <w:rFonts w:hint="eastAsia" w:ascii="仿宋_GB2312" w:eastAsia="仿宋_GB2312" w:cs="仿宋_GB2312"/>
          <w:b/>
          <w:bCs/>
          <w:color w:val="000000"/>
          <w:sz w:val="32"/>
          <w:szCs w:val="32"/>
        </w:rPr>
        <w:t xml:space="preserve"> 第2部分：成型、密封和装配过程的确认的要求》</w:t>
      </w:r>
    </w:p>
    <w:p>
      <w:pPr>
        <w:pStyle w:val="6"/>
        <w:snapToGrid w:val="0"/>
        <w:spacing w:line="360" w:lineRule="auto"/>
        <w:rPr>
          <w:rFonts w:ascii="仿宋_GB2312" w:hAnsi="宋体" w:eastAsia="仿宋_GB2312"/>
          <w:b/>
          <w:bCs/>
          <w:color w:val="000000"/>
          <w:sz w:val="32"/>
          <w:szCs w:val="32"/>
        </w:rPr>
      </w:pPr>
      <w:r>
        <w:rPr>
          <w:rFonts w:hint="eastAsia" w:ascii="仿宋_GB2312" w:hAnsi="宋体" w:eastAsia="仿宋_GB2312" w:cs="仿宋_GB2312"/>
          <w:b/>
          <w:bCs/>
          <w:color w:val="000000"/>
          <w:sz w:val="32"/>
          <w:szCs w:val="32"/>
        </w:rPr>
        <w:t>推荐性国家标准编制说明</w:t>
      </w:r>
    </w:p>
    <w:p>
      <w:pPr>
        <w:spacing w:line="400" w:lineRule="exact"/>
        <w:rPr>
          <w:rFonts w:ascii="仿宋_GB2312" w:hAnsi="宋体" w:eastAsia="仿宋_GB2312"/>
          <w:b/>
          <w:bCs/>
          <w:sz w:val="28"/>
          <w:szCs w:val="28"/>
          <w:u w:color="FFFFFF"/>
        </w:rPr>
      </w:pPr>
      <w:r>
        <w:rPr>
          <w:rFonts w:hint="eastAsia" w:ascii="仿宋_GB2312" w:hAnsi="宋体" w:eastAsia="仿宋_GB2312" w:cs="仿宋_GB2312"/>
          <w:b/>
          <w:bCs/>
          <w:sz w:val="28"/>
          <w:szCs w:val="28"/>
          <w:u w:color="FFFFFF"/>
        </w:rPr>
        <w:t>一、任务来源与主要工作过程</w:t>
      </w:r>
    </w:p>
    <w:p>
      <w:pPr>
        <w:autoSpaceDE w:val="0"/>
        <w:autoSpaceDN w:val="0"/>
        <w:adjustRightInd w:val="0"/>
        <w:spacing w:line="460" w:lineRule="exact"/>
        <w:ind w:firstLine="660" w:firstLineChars="236"/>
        <w:jc w:val="left"/>
        <w:rPr>
          <w:rFonts w:ascii="仿宋_GB2312" w:hAnsi="宋体" w:eastAsia="仿宋_GB2312"/>
          <w:sz w:val="28"/>
          <w:szCs w:val="28"/>
          <w:u w:color="FFFFFF"/>
        </w:rPr>
      </w:pPr>
      <w:r>
        <w:rPr>
          <w:rFonts w:hint="eastAsia" w:ascii="仿宋_GB2312" w:hAnsi="宋体" w:eastAsia="仿宋_GB2312" w:cs="仿宋_GB2312"/>
          <w:sz w:val="28"/>
          <w:szCs w:val="28"/>
          <w:u w:color="FFFFFF"/>
        </w:rPr>
        <w:t>根据《国家标准化管理委员会关于下达2021年推荐性国家标准计划及相关标准外文版计划的通知》（国标委发</w:t>
      </w:r>
      <w:r>
        <w:rPr>
          <w:rFonts w:ascii="仿宋_GB2312" w:hAnsi="宋体" w:eastAsia="仿宋_GB2312" w:cs="仿宋_GB2312"/>
          <w:sz w:val="28"/>
          <w:szCs w:val="28"/>
          <w:u w:color="FFFFFF"/>
        </w:rPr>
        <w:t>〔2</w:t>
      </w:r>
      <w:r>
        <w:rPr>
          <w:rFonts w:hint="eastAsia" w:ascii="仿宋_GB2312" w:hAnsi="宋体" w:eastAsia="仿宋_GB2312" w:cs="仿宋_GB2312"/>
          <w:sz w:val="28"/>
          <w:szCs w:val="28"/>
          <w:u w:color="FFFFFF"/>
        </w:rPr>
        <w:t>021</w:t>
      </w:r>
      <w:r>
        <w:rPr>
          <w:rFonts w:ascii="仿宋_GB2312" w:hAnsi="宋体" w:eastAsia="仿宋_GB2312" w:cs="仿宋_GB2312"/>
          <w:sz w:val="28"/>
          <w:szCs w:val="28"/>
          <w:u w:color="FFFFFF"/>
        </w:rPr>
        <w:t>〕2</w:t>
      </w:r>
      <w:r>
        <w:rPr>
          <w:rFonts w:hint="eastAsia" w:ascii="仿宋_GB2312" w:hAnsi="宋体" w:eastAsia="仿宋_GB2312" w:cs="仿宋_GB2312"/>
          <w:sz w:val="28"/>
          <w:szCs w:val="28"/>
          <w:u w:color="FFFFFF"/>
        </w:rPr>
        <w:t>8</w:t>
      </w:r>
      <w:r>
        <w:rPr>
          <w:rFonts w:ascii="仿宋_GB2312" w:hAnsi="宋体" w:eastAsia="仿宋_GB2312" w:cs="仿宋_GB2312"/>
          <w:sz w:val="28"/>
          <w:szCs w:val="28"/>
          <w:u w:color="FFFFFF"/>
        </w:rPr>
        <w:t>号</w:t>
      </w:r>
      <w:r>
        <w:rPr>
          <w:rFonts w:hint="eastAsia" w:ascii="仿宋_GB2312" w:hAnsi="宋体" w:eastAsia="仿宋_GB2312" w:cs="仿宋_GB2312"/>
          <w:sz w:val="28"/>
          <w:szCs w:val="28"/>
          <w:u w:color="FFFFFF"/>
        </w:rPr>
        <w:t>），项目编号：（20214380</w:t>
      </w:r>
      <w:r>
        <w:rPr>
          <w:rFonts w:ascii="仿宋_GB2312" w:hAnsi="宋体" w:eastAsia="仿宋_GB2312" w:cs="仿宋_GB2312"/>
          <w:sz w:val="28"/>
          <w:szCs w:val="28"/>
          <w:u w:color="FFFFFF"/>
        </w:rPr>
        <w:t>-</w:t>
      </w:r>
      <w:r>
        <w:rPr>
          <w:rFonts w:hint="eastAsia" w:ascii="仿宋_GB2312" w:hAnsi="宋体" w:eastAsia="仿宋_GB2312" w:cs="仿宋_GB2312"/>
          <w:sz w:val="28"/>
          <w:szCs w:val="28"/>
          <w:u w:color="FFFFFF"/>
        </w:rPr>
        <w:t>T-464</w:t>
      </w:r>
      <w:r>
        <w:rPr>
          <w:rFonts w:ascii="仿宋_GB2312" w:hAnsi="宋体" w:eastAsia="仿宋_GB2312" w:cs="仿宋_GB2312"/>
          <w:sz w:val="28"/>
          <w:szCs w:val="28"/>
          <w:u w:color="FFFFFF"/>
        </w:rPr>
        <w:t>)</w:t>
      </w:r>
      <w:r>
        <w:rPr>
          <w:rFonts w:hint="eastAsia" w:ascii="仿宋_GB2312" w:hAnsi="宋体" w:eastAsia="仿宋_GB2312" w:cs="仿宋_GB2312"/>
          <w:sz w:val="28"/>
          <w:szCs w:val="28"/>
          <w:u w:color="FFFFFF"/>
        </w:rPr>
        <w:t>，由广东省医疗器械质量监督检验所、上海微创医疗器械（集团）有限公司、上海建中医疗器械包装股份有限公司、安姆科集团毕玛时软包装（苏州）有限公司、杜邦（中国）研发管理有限公司等单位起草制定的《最终灭菌医疗器械包装 第2部分：成型、密封和装配过程的确认的要求》推荐性国家标准，主要起草人有：。。。。</w:t>
      </w:r>
    </w:p>
    <w:p>
      <w:pPr>
        <w:autoSpaceDE w:val="0"/>
        <w:autoSpaceDN w:val="0"/>
        <w:adjustRightInd w:val="0"/>
        <w:spacing w:line="460" w:lineRule="exact"/>
        <w:ind w:firstLine="660" w:firstLineChars="236"/>
        <w:jc w:val="left"/>
        <w:rPr>
          <w:rFonts w:ascii="仿宋_GB2312" w:eastAsia="仿宋_GB2312"/>
          <w:sz w:val="28"/>
          <w:szCs w:val="28"/>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u w:color="FFFFFF"/>
          <w:lang w:val="en-US" w:eastAsia="zh-CN"/>
        </w:rPr>
        <w:t>文件</w:t>
      </w:r>
      <w:r>
        <w:rPr>
          <w:rFonts w:hint="eastAsia" w:ascii="仿宋_GB2312" w:hAnsi="宋体" w:eastAsia="仿宋_GB2312" w:cs="仿宋_GB2312"/>
          <w:sz w:val="28"/>
          <w:szCs w:val="28"/>
          <w:u w:color="FFFFFF"/>
        </w:rPr>
        <w:t>起草工作组按立项计划，于2021年11月形成标准讨论稿。起草小组于2021年11月至2021年12月,</w:t>
      </w:r>
      <w:r>
        <w:rPr>
          <w:rFonts w:hint="eastAsia" w:ascii="仿宋_GB2312" w:hAnsi="宋体" w:eastAsia="仿宋_GB2312" w:cs="仿宋_GB2312"/>
          <w:sz w:val="28"/>
          <w:szCs w:val="28"/>
          <w:u w:color="FFFFFF"/>
          <w:lang w:val="en-US" w:eastAsia="zh-CN"/>
        </w:rPr>
        <w:t>通过“钉钉会议”</w:t>
      </w:r>
      <w:r>
        <w:rPr>
          <w:rFonts w:hint="eastAsia" w:ascii="仿宋_GB2312" w:hAnsi="宋体" w:eastAsia="仿宋_GB2312" w:cs="仿宋_GB2312"/>
          <w:sz w:val="28"/>
          <w:szCs w:val="28"/>
          <w:u w:color="FFFFFF"/>
        </w:rPr>
        <w:t>线上召开会议讨论标准草案，起草小组人员对标准进行了详细介绍，积极听取与会专家委员的意见和建议，对标准中的疑点、难点进行汇总分析，并对标准进行了进一步修订，于2022年1月与相关企业就标准条款的内容和验证要点进行了深入讨论，并对标准进行了进一步的修订，于XXXX年X月X日发出征求意见稿，征求意见期自XXXX年X月X日开始，至XXXX年X月X日截止，共计发出征求意见X份，收回意见X份，其中同意无意见X份，同意并有意见和建议的X份，不同意X份。XXXX年X月X日在X召开标准预审会，起草小组将汇总的征求意见和标准修订情况向与会专家进行了汇报，并结合与会专家的意见和建议，对标准内容进行了进一步的修改和完善，形成标准送审稿，交由全体委员审议。全国消毒技术与设备标准化技术委员会（SAC/TC200）于XXXX年X月X日至X月X日在XXXX召开了标准审定会,经投票一致同意该标准审定通过。会后，起草小组结合审定会专家意见对标准进行了最后的修改，形成报批稿及相关报批材料。</w:t>
      </w:r>
    </w:p>
    <w:p>
      <w:pPr>
        <w:spacing w:line="460" w:lineRule="exact"/>
        <w:jc w:val="left"/>
        <w:rPr>
          <w:rFonts w:ascii="仿宋_GB2312" w:hAnsi="宋体" w:eastAsia="仿宋_GB2312"/>
          <w:b/>
          <w:bCs/>
          <w:sz w:val="28"/>
          <w:szCs w:val="28"/>
        </w:rPr>
      </w:pPr>
      <w:r>
        <w:rPr>
          <w:rFonts w:hint="eastAsia" w:ascii="仿宋_GB2312" w:hAnsi="宋体" w:eastAsia="仿宋_GB2312" w:cs="仿宋_GB2312"/>
          <w:b/>
          <w:bCs/>
          <w:color w:val="000000"/>
          <w:sz w:val="28"/>
          <w:szCs w:val="28"/>
        </w:rPr>
        <w:t>二、</w:t>
      </w:r>
      <w:r>
        <w:rPr>
          <w:rFonts w:hint="eastAsia" w:ascii="仿宋_GB2312" w:hAnsi="宋体" w:eastAsia="仿宋_GB2312" w:cs="仿宋_GB2312"/>
          <w:b/>
          <w:bCs/>
          <w:sz w:val="28"/>
          <w:szCs w:val="28"/>
        </w:rPr>
        <w:t>标准编制原则和确定标准主要内容</w:t>
      </w:r>
    </w:p>
    <w:p>
      <w:pPr>
        <w:spacing w:line="460" w:lineRule="exact"/>
        <w:ind w:firstLine="560" w:firstLineChars="200"/>
        <w:rPr>
          <w:rFonts w:ascii="仿宋_GB2312" w:hAnsi="宋体" w:eastAsia="仿宋_GB2312"/>
          <w:sz w:val="28"/>
          <w:szCs w:val="28"/>
          <w:u w:color="FFFFFF"/>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u w:color="FFFFFF"/>
          <w:lang w:val="en-US" w:eastAsia="zh-CN"/>
        </w:rPr>
        <w:t>文件</w:t>
      </w:r>
      <w:r>
        <w:rPr>
          <w:rFonts w:hint="eastAsia" w:ascii="仿宋_GB2312" w:hAnsi="宋体" w:eastAsia="仿宋_GB2312" w:cs="仿宋_GB2312"/>
          <w:sz w:val="28"/>
          <w:szCs w:val="28"/>
          <w:u w:color="FFFFFF"/>
        </w:rPr>
        <w:t>的制定在编写格式上符合国家标准</w:t>
      </w:r>
      <w:r>
        <w:rPr>
          <w:rFonts w:ascii="仿宋_GB2312" w:hAnsi="宋体" w:eastAsia="仿宋_GB2312" w:cs="仿宋_GB2312"/>
          <w:sz w:val="28"/>
          <w:szCs w:val="28"/>
          <w:u w:color="FFFFFF"/>
        </w:rPr>
        <w:t>GB/T 1.1-</w:t>
      </w:r>
      <w:r>
        <w:rPr>
          <w:rFonts w:hint="eastAsia" w:ascii="仿宋_GB2312" w:hAnsi="宋体" w:eastAsia="仿宋_GB2312" w:cs="仿宋_GB2312"/>
          <w:sz w:val="28"/>
          <w:szCs w:val="28"/>
          <w:u w:color="FFFFFF"/>
        </w:rPr>
        <w:t>2020《</w:t>
      </w:r>
      <w:r>
        <w:rPr>
          <w:rFonts w:hint="eastAsia" w:ascii="仿宋_GB2312" w:hAnsi="宋体" w:eastAsia="仿宋_GB2312" w:cs="仿宋_GB2312"/>
          <w:sz w:val="28"/>
          <w:szCs w:val="28"/>
        </w:rPr>
        <w:t>标准化工作导则第</w:t>
      </w:r>
      <w:r>
        <w:rPr>
          <w:rFonts w:ascii="仿宋_GB2312" w:hAnsi="宋体" w:eastAsia="仿宋_GB2312" w:cs="仿宋_GB2312"/>
          <w:sz w:val="28"/>
          <w:szCs w:val="28"/>
        </w:rPr>
        <w:t>1</w:t>
      </w:r>
      <w:r>
        <w:rPr>
          <w:rFonts w:hint="eastAsia" w:ascii="仿宋_GB2312" w:hAnsi="宋体" w:eastAsia="仿宋_GB2312" w:cs="仿宋_GB2312"/>
          <w:sz w:val="28"/>
          <w:szCs w:val="28"/>
        </w:rPr>
        <w:t>部分：标准化文件的结构和起草规则</w:t>
      </w:r>
      <w:r>
        <w:rPr>
          <w:rFonts w:hint="eastAsia" w:ascii="仿宋_GB2312" w:hAnsi="宋体" w:eastAsia="仿宋_GB2312" w:cs="仿宋_GB2312"/>
          <w:sz w:val="28"/>
          <w:szCs w:val="28"/>
          <w:u w:color="FFFFFF"/>
        </w:rPr>
        <w:t>》的规定要求。</w:t>
      </w:r>
    </w:p>
    <w:p>
      <w:pPr>
        <w:spacing w:line="460" w:lineRule="exact"/>
        <w:ind w:firstLine="560" w:firstLineChars="200"/>
        <w:jc w:val="left"/>
        <w:rPr>
          <w:rFonts w:ascii="仿宋_GB2312" w:hAnsi="宋体" w:eastAsia="仿宋_GB2312"/>
          <w:sz w:val="28"/>
          <w:szCs w:val="28"/>
          <w:u w:color="FFFFFF"/>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u w:color="FFFFFF"/>
          <w:lang w:val="en-US" w:eastAsia="zh-CN"/>
        </w:rPr>
        <w:t>文件</w:t>
      </w:r>
      <w:r>
        <w:rPr>
          <w:rFonts w:hint="eastAsia" w:ascii="仿宋_GB2312" w:hAnsi="宋体" w:eastAsia="仿宋_GB2312" w:cs="仿宋_GB2312"/>
          <w:sz w:val="28"/>
          <w:szCs w:val="28"/>
          <w:u w:color="FFFFFF"/>
        </w:rPr>
        <w:t>等同采用了</w:t>
      </w:r>
      <w:r>
        <w:rPr>
          <w:rFonts w:ascii="仿宋_GB2312" w:hAnsi="宋体" w:eastAsia="仿宋_GB2312" w:cs="仿宋_GB2312"/>
          <w:sz w:val="28"/>
          <w:szCs w:val="28"/>
          <w:u w:color="FFFFFF"/>
        </w:rPr>
        <w:t>ISO</w:t>
      </w:r>
      <w:r>
        <w:rPr>
          <w:rFonts w:hint="eastAsia" w:ascii="仿宋_GB2312" w:hAnsi="宋体" w:eastAsia="仿宋_GB2312" w:cs="仿宋_GB2312"/>
          <w:sz w:val="28"/>
          <w:szCs w:val="28"/>
          <w:u w:color="FFFFFF"/>
        </w:rPr>
        <w:t>英文版标准Packaging for terminally sterilized medical devices – Part 2: Validation requirements for forming, sealing and assembly processes的内容。</w:t>
      </w:r>
    </w:p>
    <w:p>
      <w:pPr>
        <w:spacing w:line="460" w:lineRule="exact"/>
        <w:ind w:firstLine="560" w:firstLineChars="200"/>
        <w:jc w:val="left"/>
        <w:rPr>
          <w:rFonts w:ascii="仿宋_GB2312" w:hAnsi="宋体" w:eastAsia="仿宋_GB2312" w:cs="仿宋_GB2312"/>
          <w:sz w:val="28"/>
          <w:szCs w:val="28"/>
          <w:u w:color="FFFFFF"/>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u w:color="FFFFFF"/>
          <w:lang w:val="en-US" w:eastAsia="zh-CN"/>
        </w:rPr>
        <w:t>文件</w:t>
      </w:r>
      <w:r>
        <w:rPr>
          <w:rFonts w:hint="eastAsia" w:ascii="仿宋_GB2312" w:hAnsi="宋体" w:eastAsia="仿宋_GB2312" w:cs="仿宋_GB2312"/>
          <w:sz w:val="28"/>
          <w:szCs w:val="28"/>
          <w:u w:color="FFFFFF"/>
        </w:rPr>
        <w:t>与GB/T 19633.2-2015版本存在技术差异。</w:t>
      </w:r>
    </w:p>
    <w:p>
      <w:pPr>
        <w:spacing w:line="460" w:lineRule="exact"/>
        <w:ind w:firstLine="560" w:firstLineChars="200"/>
        <w:jc w:val="left"/>
        <w:rPr>
          <w:rFonts w:ascii="仿宋_GB2312" w:hAnsi="宋体" w:eastAsia="仿宋_GB2312" w:cs="仿宋_GB2312"/>
          <w:sz w:val="28"/>
          <w:szCs w:val="28"/>
          <w:u w:color="FFFFFF"/>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u w:color="FFFFFF"/>
          <w:lang w:val="en-US" w:eastAsia="zh-CN"/>
        </w:rPr>
        <w:t>文件</w:t>
      </w:r>
      <w:r>
        <w:rPr>
          <w:rFonts w:hint="eastAsia" w:ascii="仿宋_GB2312" w:hAnsi="宋体" w:eastAsia="仿宋_GB2312" w:cs="仿宋_GB2312"/>
          <w:sz w:val="28"/>
          <w:szCs w:val="28"/>
          <w:u w:color="FFFFFF"/>
        </w:rPr>
        <w:t>规定了最终灭菌医疗器械包装过程的开发和确认要求。这些过程包括预成型无菌屏障系统、无菌屏障系统和包装系统的成型、密封和装配。适用于工业、医疗机构对医疗器械的包装和灭菌。但不包括无菌制造医疗器械的包装要求。对于药物与器械的组合，还可能有其他要求。本</w:t>
      </w:r>
      <w:r>
        <w:rPr>
          <w:rFonts w:hint="eastAsia" w:ascii="仿宋_GB2312" w:hAnsi="宋体" w:eastAsia="仿宋_GB2312" w:cs="仿宋_GB2312"/>
          <w:sz w:val="28"/>
          <w:szCs w:val="28"/>
          <w:u w:color="FFFFFF"/>
          <w:lang w:val="en-US" w:eastAsia="zh-CN"/>
        </w:rPr>
        <w:t>文件</w:t>
      </w:r>
      <w:r>
        <w:rPr>
          <w:rFonts w:hint="eastAsia" w:ascii="仿宋_GB2312" w:hAnsi="宋体" w:eastAsia="仿宋_GB2312" w:cs="仿宋_GB2312"/>
          <w:sz w:val="28"/>
          <w:szCs w:val="28"/>
          <w:u w:color="FFFFFF"/>
        </w:rPr>
        <w:t>对预成型无菌屏障系统、无菌屏障系统和包装系统成型、密封和装配过程的确认提出确认的要求，主要包括安装鉴定、运行鉴定和性能鉴定过程的相关要求。</w:t>
      </w:r>
    </w:p>
    <w:p>
      <w:pPr>
        <w:spacing w:line="460" w:lineRule="exact"/>
        <w:jc w:val="left"/>
        <w:rPr>
          <w:rFonts w:ascii="仿宋_GB2312" w:hAnsi="宋体" w:eastAsia="仿宋_GB2312"/>
          <w:b/>
          <w:bCs/>
          <w:color w:val="000000"/>
          <w:sz w:val="28"/>
          <w:szCs w:val="28"/>
        </w:rPr>
      </w:pPr>
      <w:r>
        <w:rPr>
          <w:rFonts w:hint="eastAsia" w:ascii="仿宋_GB2312" w:hAnsi="宋体" w:eastAsia="仿宋_GB2312" w:cs="仿宋_GB2312"/>
          <w:b/>
          <w:bCs/>
          <w:sz w:val="28"/>
          <w:szCs w:val="28"/>
        </w:rPr>
        <w:t>三、主要试验（或验证）的分析、综述报告，技术经济论证，预期的经济效果</w:t>
      </w:r>
    </w:p>
    <w:p>
      <w:pPr>
        <w:spacing w:line="460" w:lineRule="exact"/>
        <w:ind w:firstLine="560" w:firstLineChars="200"/>
        <w:rPr>
          <w:rFonts w:hint="eastAsia" w:ascii="仿宋_GB2312" w:hAnsi="宋体" w:eastAsia="仿宋_GB2312" w:cs="仿宋_GB2312"/>
          <w:sz w:val="28"/>
          <w:szCs w:val="28"/>
          <w:highlight w:val="none"/>
        </w:rPr>
      </w:pPr>
      <w:r>
        <w:rPr>
          <w:rFonts w:hint="eastAsia" w:ascii="仿宋_GB2312" w:hAnsi="宋体" w:eastAsia="仿宋_GB2312" w:cs="仿宋_GB2312"/>
          <w:sz w:val="28"/>
          <w:szCs w:val="28"/>
          <w:highlight w:val="none"/>
        </w:rPr>
        <w:t>本文件</w:t>
      </w:r>
      <w:r>
        <w:rPr>
          <w:rFonts w:hint="eastAsia" w:ascii="仿宋_GB2312" w:hAnsi="宋体" w:eastAsia="仿宋_GB2312" w:cs="仿宋_GB2312"/>
          <w:sz w:val="28"/>
          <w:szCs w:val="28"/>
          <w:highlight w:val="none"/>
          <w:lang w:eastAsia="zh-CN"/>
        </w:rPr>
        <w:t>。。。</w:t>
      </w:r>
      <w:r>
        <w:rPr>
          <w:rFonts w:hint="eastAsia" w:ascii="仿宋_GB2312" w:hAnsi="宋体" w:eastAsia="仿宋_GB2312" w:cs="仿宋_GB2312"/>
          <w:sz w:val="28"/>
          <w:szCs w:val="28"/>
          <w:highlight w:val="none"/>
        </w:rPr>
        <w:t>进行验证。广东省医疗器械质量监督检验所、</w:t>
      </w:r>
      <w:r>
        <w:rPr>
          <w:rFonts w:hint="eastAsia" w:ascii="仿宋_GB2312" w:hAnsi="宋体" w:eastAsia="仿宋_GB2312" w:cs="仿宋_GB2312"/>
          <w:sz w:val="28"/>
          <w:szCs w:val="28"/>
          <w:highlight w:val="none"/>
          <w:lang w:val="en-US" w:eastAsia="zh-CN"/>
        </w:rPr>
        <w:t>XXXX</w:t>
      </w:r>
      <w:r>
        <w:rPr>
          <w:rFonts w:hint="eastAsia" w:ascii="仿宋_GB2312" w:hAnsi="宋体" w:eastAsia="仿宋_GB2312" w:cs="仿宋_GB2312"/>
          <w:sz w:val="28"/>
          <w:szCs w:val="28"/>
          <w:highlight w:val="none"/>
        </w:rPr>
        <w:t>出具验证报告。主要验证了《最终灭菌医疗器械包装</w:t>
      </w:r>
      <w:r>
        <w:rPr>
          <w:rFonts w:hint="eastAsia" w:ascii="仿宋_GB2312" w:hAnsi="宋体" w:eastAsia="仿宋_GB2312" w:cs="仿宋_GB2312"/>
          <w:sz w:val="28"/>
          <w:szCs w:val="28"/>
          <w:highlight w:val="none"/>
          <w:lang w:val="en-US" w:eastAsia="zh-CN"/>
        </w:rPr>
        <w:t xml:space="preserve"> </w:t>
      </w:r>
      <w:r>
        <w:rPr>
          <w:rFonts w:hint="eastAsia" w:ascii="仿宋_GB2312" w:hAnsi="宋体" w:eastAsia="仿宋_GB2312" w:cs="仿宋_GB2312"/>
          <w:sz w:val="28"/>
          <w:szCs w:val="28"/>
          <w:highlight w:val="none"/>
        </w:rPr>
        <w:t>第2部分：成型、密封和装配过程的确认的要求》合理性及其对应试验方法的可行性。具体内容按照《最终灭菌医疗器械包装</w:t>
      </w:r>
      <w:r>
        <w:rPr>
          <w:rFonts w:hint="eastAsia" w:ascii="仿宋_GB2312" w:hAnsi="宋体" w:eastAsia="仿宋_GB2312" w:cs="仿宋_GB2312"/>
          <w:sz w:val="28"/>
          <w:szCs w:val="28"/>
          <w:highlight w:val="none"/>
          <w:lang w:val="en-US" w:eastAsia="zh-CN"/>
        </w:rPr>
        <w:t xml:space="preserve"> </w:t>
      </w:r>
      <w:r>
        <w:rPr>
          <w:rFonts w:hint="eastAsia" w:ascii="仿宋_GB2312" w:hAnsi="宋体" w:eastAsia="仿宋_GB2312" w:cs="仿宋_GB2312"/>
          <w:sz w:val="28"/>
          <w:szCs w:val="28"/>
          <w:highlight w:val="none"/>
        </w:rPr>
        <w:t>第2部分：成型、密封和装配过程的确认的要求》标准预审稿</w:t>
      </w:r>
      <w:r>
        <w:rPr>
          <w:rFonts w:hint="eastAsia" w:ascii="仿宋_GB2312" w:hAnsi="宋体" w:eastAsia="仿宋_GB2312" w:cs="仿宋_GB2312"/>
          <w:sz w:val="28"/>
          <w:szCs w:val="28"/>
          <w:highlight w:val="none"/>
          <w:lang w:eastAsia="zh-CN"/>
        </w:rPr>
        <w:t>。。。</w:t>
      </w:r>
      <w:r>
        <w:rPr>
          <w:rFonts w:hint="eastAsia" w:ascii="仿宋_GB2312" w:hAnsi="宋体" w:eastAsia="仿宋_GB2312" w:cs="仿宋_GB2312"/>
          <w:sz w:val="28"/>
          <w:szCs w:val="28"/>
          <w:highlight w:val="none"/>
        </w:rPr>
        <w:t>要求和试验方法进行。通过验证，《最终灭菌医疗器械包装</w:t>
      </w:r>
      <w:r>
        <w:rPr>
          <w:rFonts w:hint="eastAsia" w:ascii="仿宋_GB2312" w:hAnsi="宋体" w:eastAsia="仿宋_GB2312" w:cs="仿宋_GB2312"/>
          <w:sz w:val="28"/>
          <w:szCs w:val="28"/>
          <w:highlight w:val="none"/>
          <w:lang w:val="en-US" w:eastAsia="zh-CN"/>
        </w:rPr>
        <w:t xml:space="preserve"> </w:t>
      </w:r>
      <w:r>
        <w:rPr>
          <w:rFonts w:hint="eastAsia" w:ascii="仿宋_GB2312" w:hAnsi="宋体" w:eastAsia="仿宋_GB2312" w:cs="仿宋_GB2312"/>
          <w:sz w:val="28"/>
          <w:szCs w:val="28"/>
          <w:highlight w:val="none"/>
        </w:rPr>
        <w:t>第2部分：成型、密封和装配过程的确认的要求》预审稿中的测试方法具有可操作性，国内具备标准要求中的检验能力，试验条件满足要求，所需试验设备完备，能顺利完成测试</w:t>
      </w:r>
      <w:r>
        <w:rPr>
          <w:rFonts w:hint="eastAsia" w:ascii="仿宋_GB2312" w:hAnsi="宋体" w:eastAsia="仿宋_GB2312" w:cs="仿宋_GB2312"/>
          <w:sz w:val="28"/>
          <w:szCs w:val="28"/>
          <w:highlight w:val="none"/>
          <w:lang w:eastAsia="zh-CN"/>
        </w:rPr>
        <w:t>。</w:t>
      </w:r>
    </w:p>
    <w:p>
      <w:pPr>
        <w:spacing w:line="460" w:lineRule="exact"/>
        <w:ind w:firstLine="560" w:firstLineChars="200"/>
        <w:rPr>
          <w:rFonts w:ascii="仿宋_GB2312" w:hAnsi="宋体" w:eastAsia="仿宋_GB2312" w:cs="仿宋_GB2312"/>
          <w:sz w:val="28"/>
          <w:szCs w:val="28"/>
          <w:highlight w:val="none"/>
        </w:rPr>
      </w:pPr>
      <w:r>
        <w:rPr>
          <w:rFonts w:hint="eastAsia" w:ascii="仿宋_GB2312" w:hAnsi="宋体" w:eastAsia="仿宋_GB2312" w:cs="仿宋_GB2312"/>
          <w:sz w:val="28"/>
          <w:szCs w:val="28"/>
          <w:highlight w:val="none"/>
        </w:rPr>
        <w:t>在灭菌过程中，一些可能影响无菌屏障系统完整性的包装操作有密封、封盖或其他闭合系统、切割、成型/充装/密封、装配过程以及后续处理。本</w:t>
      </w:r>
      <w:r>
        <w:rPr>
          <w:rFonts w:hint="eastAsia" w:ascii="仿宋_GB2312" w:hAnsi="宋体" w:eastAsia="仿宋_GB2312" w:cs="仿宋_GB2312"/>
          <w:sz w:val="28"/>
          <w:szCs w:val="28"/>
          <w:highlight w:val="none"/>
          <w:lang w:val="en-US" w:eastAsia="zh-CN"/>
        </w:rPr>
        <w:t>文件</w:t>
      </w:r>
      <w:bookmarkStart w:id="0" w:name="_GoBack"/>
      <w:bookmarkEnd w:id="0"/>
      <w:r>
        <w:rPr>
          <w:rFonts w:hint="eastAsia" w:ascii="仿宋_GB2312" w:hAnsi="宋体" w:eastAsia="仿宋_GB2312" w:cs="仿宋_GB2312"/>
          <w:sz w:val="28"/>
          <w:szCs w:val="28"/>
          <w:highlight w:val="none"/>
        </w:rPr>
        <w:t>提供了开发和确认包装系统的制作和装配过程中活动和要求框架。它的发布有利于规范验证过程的规范性和有效性，对促进行业发展，保证用户和患者的使用安全方面，都有积极的经济和社会意义。</w:t>
      </w:r>
    </w:p>
    <w:p>
      <w:pPr>
        <w:pStyle w:val="6"/>
        <w:spacing w:line="460" w:lineRule="exact"/>
        <w:jc w:val="both"/>
        <w:rPr>
          <w:rFonts w:ascii="仿宋_GB2312" w:hAnsi="宋体" w:eastAsia="仿宋_GB2312"/>
          <w:b/>
          <w:bCs/>
          <w:color w:val="000000"/>
          <w:sz w:val="28"/>
          <w:szCs w:val="28"/>
        </w:rPr>
      </w:pPr>
      <w:r>
        <w:rPr>
          <w:rFonts w:hint="eastAsia" w:ascii="仿宋_GB2312" w:hAnsi="宋体" w:eastAsia="仿宋_GB2312" w:cs="仿宋_GB2312"/>
          <w:b/>
          <w:bCs/>
          <w:sz w:val="28"/>
          <w:szCs w:val="28"/>
        </w:rPr>
        <w:t>四、采用国际标准和国外先进标准的程度，以及与国际、国外同类标准水平的对比情况，或与测试的国外样品、样机的有关数据对比情况</w:t>
      </w:r>
    </w:p>
    <w:p>
      <w:pPr>
        <w:spacing w:line="460" w:lineRule="exact"/>
        <w:ind w:firstLine="560" w:firstLineChars="200"/>
        <w:jc w:val="left"/>
        <w:rPr>
          <w:rFonts w:ascii="仿宋_GB2312" w:hAnsi="宋体" w:eastAsia="仿宋_GB2312" w:cs="仿宋_GB2312"/>
          <w:sz w:val="28"/>
          <w:szCs w:val="28"/>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u w:color="FFFFFF"/>
          <w:lang w:val="en-US" w:eastAsia="zh-CN"/>
        </w:rPr>
        <w:t>文件</w:t>
      </w:r>
      <w:r>
        <w:rPr>
          <w:rFonts w:hint="eastAsia" w:ascii="仿宋_GB2312" w:hAnsi="宋体" w:eastAsia="仿宋_GB2312" w:cs="仿宋_GB2312"/>
          <w:sz w:val="28"/>
          <w:szCs w:val="28"/>
        </w:rPr>
        <w:t>等同采用</w:t>
      </w:r>
      <w:r>
        <w:rPr>
          <w:rFonts w:hint="eastAsia" w:ascii="仿宋_GB2312" w:hAnsi="宋体" w:eastAsia="仿宋_GB2312" w:cs="仿宋_GB2312"/>
          <w:sz w:val="28"/>
          <w:szCs w:val="28"/>
          <w:u w:color="FFFFFF"/>
        </w:rPr>
        <w:t>英文版标准Packaging for terminally sterilized medical devices – Part 2: Validation requirements for forming, sealing and assembly processes</w:t>
      </w:r>
      <w:r>
        <w:rPr>
          <w:rFonts w:hint="eastAsia" w:ascii="仿宋_GB2312" w:hAnsi="宋体" w:eastAsia="仿宋_GB2312" w:cs="仿宋_GB2312"/>
          <w:sz w:val="28"/>
          <w:szCs w:val="28"/>
        </w:rPr>
        <w:t>。</w:t>
      </w:r>
    </w:p>
    <w:p>
      <w:pPr>
        <w:spacing w:line="460" w:lineRule="exact"/>
        <w:ind w:firstLine="560" w:firstLineChars="200"/>
        <w:jc w:val="left"/>
        <w:rPr>
          <w:rFonts w:ascii="仿宋_GB2312" w:hAnsi="宋体" w:eastAsia="仿宋_GB2312" w:cs="仿宋_GB2312"/>
          <w:sz w:val="28"/>
          <w:szCs w:val="28"/>
        </w:rPr>
      </w:pPr>
      <w:r>
        <w:rPr>
          <w:rFonts w:hint="eastAsia" w:ascii="仿宋_GB2312" w:hAnsi="宋体" w:eastAsia="仿宋_GB2312" w:cs="仿宋_GB2312"/>
          <w:sz w:val="28"/>
          <w:szCs w:val="28"/>
        </w:rPr>
        <w:t>在编写格式上根据我国国家标准</w:t>
      </w:r>
      <w:r>
        <w:rPr>
          <w:rFonts w:ascii="仿宋_GB2312" w:hAnsi="宋体" w:eastAsia="仿宋_GB2312" w:cs="仿宋_GB2312"/>
          <w:sz w:val="28"/>
          <w:szCs w:val="28"/>
        </w:rPr>
        <w:t>GB/T 1.1—</w:t>
      </w:r>
      <w:r>
        <w:rPr>
          <w:rFonts w:hint="eastAsia" w:ascii="仿宋_GB2312" w:hAnsi="宋体" w:eastAsia="仿宋_GB2312" w:cs="仿宋_GB2312"/>
          <w:sz w:val="28"/>
          <w:szCs w:val="28"/>
        </w:rPr>
        <w:t>2020《标准化工作导则第</w:t>
      </w:r>
      <w:r>
        <w:rPr>
          <w:rFonts w:ascii="仿宋_GB2312" w:hAnsi="宋体" w:eastAsia="仿宋_GB2312" w:cs="仿宋_GB2312"/>
          <w:sz w:val="28"/>
          <w:szCs w:val="28"/>
        </w:rPr>
        <w:t>1</w:t>
      </w:r>
      <w:r>
        <w:rPr>
          <w:rFonts w:hint="eastAsia" w:ascii="仿宋_GB2312" w:hAnsi="宋体" w:eastAsia="仿宋_GB2312" w:cs="仿宋_GB2312"/>
          <w:sz w:val="28"/>
          <w:szCs w:val="28"/>
        </w:rPr>
        <w:t>部分：标准化文件的结构和起草规则》以及</w:t>
      </w:r>
      <w:r>
        <w:rPr>
          <w:rFonts w:ascii="仿宋_GB2312" w:hAnsi="宋体" w:eastAsia="仿宋_GB2312" w:cs="仿宋_GB2312"/>
          <w:sz w:val="28"/>
          <w:szCs w:val="28"/>
        </w:rPr>
        <w:t>GB/T</w:t>
      </w:r>
      <w:r>
        <w:rPr>
          <w:rFonts w:hint="eastAsia" w:ascii="仿宋_GB2312" w:hAnsi="宋体" w:eastAsia="仿宋_GB2312" w:cs="仿宋_GB2312"/>
          <w:sz w:val="28"/>
          <w:szCs w:val="28"/>
        </w:rPr>
        <w:t xml:space="preserve"> 1.2-2020《标准化工作导则第</w:t>
      </w:r>
      <w:r>
        <w:rPr>
          <w:rFonts w:ascii="仿宋_GB2312" w:hAnsi="宋体" w:eastAsia="仿宋_GB2312" w:cs="仿宋_GB2312"/>
          <w:sz w:val="28"/>
          <w:szCs w:val="28"/>
        </w:rPr>
        <w:t>2</w:t>
      </w:r>
      <w:r>
        <w:rPr>
          <w:rFonts w:hint="eastAsia" w:ascii="仿宋_GB2312" w:hAnsi="宋体" w:eastAsia="仿宋_GB2312" w:cs="仿宋_GB2312"/>
          <w:sz w:val="28"/>
          <w:szCs w:val="28"/>
        </w:rPr>
        <w:t>部分：以ISO/IEC标准化文件为基础的标准化文件起草规则》的要求作了一些编辑性修改。</w:t>
      </w:r>
    </w:p>
    <w:p>
      <w:pPr>
        <w:pStyle w:val="6"/>
        <w:spacing w:line="460" w:lineRule="exact"/>
        <w:ind w:firstLine="560" w:firstLineChars="200"/>
        <w:jc w:val="both"/>
        <w:rPr>
          <w:rFonts w:ascii="仿宋_GB2312" w:hAnsi="宋体" w:eastAsia="仿宋_GB2312"/>
          <w:b/>
          <w:bCs/>
          <w:color w:val="000000"/>
          <w:sz w:val="28"/>
          <w:szCs w:val="28"/>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u w:color="FFFFFF"/>
          <w:lang w:val="en-US" w:eastAsia="zh-CN"/>
        </w:rPr>
        <w:t>文件</w:t>
      </w:r>
      <w:r>
        <w:rPr>
          <w:rFonts w:hint="eastAsia" w:ascii="仿宋_GB2312" w:hAnsi="宋体" w:eastAsia="仿宋_GB2312" w:cs="仿宋_GB2312"/>
          <w:sz w:val="28"/>
          <w:szCs w:val="28"/>
        </w:rPr>
        <w:t>属于国际及国内先进标准。</w:t>
      </w:r>
    </w:p>
    <w:p>
      <w:pPr>
        <w:pStyle w:val="6"/>
        <w:spacing w:line="460" w:lineRule="exact"/>
        <w:jc w:val="both"/>
        <w:rPr>
          <w:rFonts w:ascii="仿宋_GB2312" w:hAnsi="宋体" w:eastAsia="仿宋_GB2312"/>
          <w:b/>
          <w:bCs/>
          <w:sz w:val="28"/>
          <w:szCs w:val="28"/>
        </w:rPr>
      </w:pPr>
      <w:r>
        <w:rPr>
          <w:rFonts w:hint="eastAsia" w:ascii="仿宋_GB2312" w:hAnsi="宋体" w:eastAsia="仿宋_GB2312" w:cs="仿宋_GB2312"/>
          <w:b/>
          <w:bCs/>
          <w:sz w:val="28"/>
          <w:szCs w:val="28"/>
        </w:rPr>
        <w:t>五、与有关的现行法律、法规和其他相关标准的关系等协调性问题</w:t>
      </w:r>
    </w:p>
    <w:p>
      <w:pPr>
        <w:spacing w:line="460" w:lineRule="exact"/>
        <w:ind w:firstLine="560" w:firstLineChars="200"/>
        <w:rPr>
          <w:rFonts w:ascii="仿宋_GB2312" w:hAnsi="宋体" w:eastAsia="仿宋_GB2312"/>
          <w:sz w:val="28"/>
          <w:szCs w:val="28"/>
          <w:u w:color="FFFFFF"/>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u w:color="FFFFFF"/>
          <w:lang w:val="en-US" w:eastAsia="zh-CN"/>
        </w:rPr>
        <w:t>文件</w:t>
      </w:r>
      <w:r>
        <w:rPr>
          <w:rFonts w:hint="eastAsia" w:ascii="仿宋_GB2312" w:hAnsi="宋体" w:eastAsia="仿宋_GB2312" w:cs="仿宋_GB2312"/>
          <w:sz w:val="28"/>
          <w:szCs w:val="28"/>
          <w:u w:color="FFFFFF"/>
        </w:rPr>
        <w:t>与有关的现行法律、法规和其他标准均一致相协调，无矛盾。</w:t>
      </w:r>
    </w:p>
    <w:p>
      <w:pPr>
        <w:spacing w:line="460" w:lineRule="exact"/>
        <w:jc w:val="left"/>
        <w:rPr>
          <w:rFonts w:ascii="仿宋_GB2312" w:hAnsi="宋体" w:eastAsia="仿宋_GB2312"/>
          <w:b/>
          <w:bCs/>
          <w:sz w:val="28"/>
          <w:szCs w:val="28"/>
        </w:rPr>
      </w:pPr>
      <w:r>
        <w:rPr>
          <w:rFonts w:hint="eastAsia" w:ascii="仿宋_GB2312" w:hAnsi="宋体" w:eastAsia="仿宋_GB2312" w:cs="仿宋_GB2312"/>
          <w:b/>
          <w:bCs/>
          <w:sz w:val="28"/>
          <w:szCs w:val="28"/>
        </w:rPr>
        <w:t>六、重大分歧意见的处理情况及依据</w:t>
      </w:r>
    </w:p>
    <w:p>
      <w:pPr>
        <w:pStyle w:val="26"/>
        <w:spacing w:line="460" w:lineRule="exact"/>
        <w:ind w:firstLine="509" w:firstLineChars="182"/>
        <w:rPr>
          <w:rFonts w:ascii="仿宋_GB2312" w:hAnsi="宋体" w:eastAsia="仿宋_GB2312" w:cs="Times New Roman"/>
          <w:kern w:val="2"/>
          <w:sz w:val="28"/>
          <w:szCs w:val="28"/>
          <w:u w:color="FFFFFF"/>
        </w:rPr>
      </w:pPr>
      <w:r>
        <w:rPr>
          <w:rFonts w:hint="eastAsia" w:ascii="仿宋_GB2312" w:hAnsi="宋体" w:eastAsia="仿宋_GB2312" w:cs="仿宋_GB2312"/>
          <w:kern w:val="2"/>
          <w:sz w:val="28"/>
          <w:szCs w:val="28"/>
          <w:u w:color="FFFFFF"/>
        </w:rPr>
        <w:t>无</w:t>
      </w:r>
      <w:r>
        <w:rPr>
          <w:rFonts w:hint="eastAsia" w:ascii="仿宋_GB2312" w:hAnsi="宋体" w:eastAsia="仿宋_GB2312" w:cs="仿宋_GB2312"/>
          <w:bCs/>
          <w:sz w:val="28"/>
          <w:szCs w:val="28"/>
        </w:rPr>
        <w:t>重大分歧意见。</w:t>
      </w:r>
    </w:p>
    <w:p>
      <w:pPr>
        <w:spacing w:line="460" w:lineRule="exact"/>
        <w:rPr>
          <w:rFonts w:ascii="仿宋_GB2312" w:hAnsi="宋体" w:eastAsia="仿宋_GB2312"/>
          <w:b/>
          <w:bCs/>
          <w:sz w:val="28"/>
          <w:szCs w:val="28"/>
        </w:rPr>
      </w:pPr>
      <w:r>
        <w:rPr>
          <w:rFonts w:hint="eastAsia" w:ascii="仿宋_GB2312" w:hAnsi="宋体" w:eastAsia="仿宋_GB2312" w:cs="仿宋_GB2312"/>
          <w:b/>
          <w:bCs/>
          <w:sz w:val="28"/>
          <w:szCs w:val="28"/>
        </w:rPr>
        <w:t>七、作为强制性或推荐性标准的建议</w:t>
      </w:r>
    </w:p>
    <w:p>
      <w:pPr>
        <w:pStyle w:val="26"/>
        <w:spacing w:line="460" w:lineRule="exact"/>
        <w:ind w:firstLine="560"/>
        <w:rPr>
          <w:rFonts w:ascii="仿宋_GB2312" w:hAnsi="宋体" w:eastAsia="仿宋_GB2312" w:cs="仿宋_GB2312"/>
          <w:kern w:val="2"/>
          <w:sz w:val="28"/>
          <w:szCs w:val="28"/>
          <w:u w:color="FFFFFF"/>
        </w:rPr>
      </w:pPr>
      <w:r>
        <w:rPr>
          <w:rFonts w:hint="eastAsia" w:ascii="仿宋_GB2312" w:hAnsi="宋体" w:eastAsia="仿宋_GB2312" w:cs="仿宋_GB2312"/>
          <w:sz w:val="28"/>
          <w:szCs w:val="28"/>
        </w:rPr>
        <w:t>对于无菌医疗器械的无菌屏障系统和包装系统而言，其中最关键的一个特性是保证其保持无菌性。以无菌状态交付的医疗器械应通过经确认的适当方法进行制造、包装和灭菌。包装过程的开发和确认对于在用户打开无菌医疗器械前，保证无菌屏障系统的完整性至关重要。通过一个形成文件的过程确认程序证实所有包装和灭菌过程的有效性和再现性。</w:t>
      </w:r>
      <w:r>
        <w:rPr>
          <w:rFonts w:hint="eastAsia" w:ascii="仿宋_GB2312" w:hAnsi="宋体" w:eastAsia="仿宋_GB2312" w:cs="仿宋_GB2312"/>
          <w:kern w:val="2"/>
          <w:sz w:val="28"/>
          <w:szCs w:val="28"/>
          <w:u w:color="FFFFFF"/>
        </w:rPr>
        <w:t>建议</w:t>
      </w: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u w:color="FFFFFF"/>
          <w:lang w:val="en-US" w:eastAsia="zh-CN"/>
        </w:rPr>
        <w:t>文件</w:t>
      </w:r>
      <w:r>
        <w:rPr>
          <w:rFonts w:hint="eastAsia" w:ascii="仿宋_GB2312" w:hAnsi="宋体" w:eastAsia="仿宋_GB2312" w:cs="仿宋_GB2312"/>
          <w:kern w:val="2"/>
          <w:sz w:val="28"/>
          <w:szCs w:val="28"/>
          <w:u w:color="FFFFFF"/>
        </w:rPr>
        <w:t>按推荐性</w:t>
      </w:r>
      <w:r>
        <w:rPr>
          <w:rFonts w:hint="eastAsia" w:ascii="仿宋_GB2312" w:hAnsi="宋体" w:eastAsia="仿宋_GB2312" w:cs="仿宋_GB2312"/>
          <w:kern w:val="2"/>
          <w:sz w:val="28"/>
          <w:szCs w:val="28"/>
          <w:u w:color="FFFFFF"/>
          <w:lang w:val="en-US" w:eastAsia="zh-CN"/>
        </w:rPr>
        <w:t>国家</w:t>
      </w:r>
      <w:r>
        <w:rPr>
          <w:rFonts w:hint="eastAsia" w:ascii="仿宋_GB2312" w:hAnsi="宋体" w:eastAsia="仿宋_GB2312" w:cs="仿宋_GB2312"/>
          <w:kern w:val="2"/>
          <w:sz w:val="28"/>
          <w:szCs w:val="28"/>
          <w:u w:color="FFFFFF"/>
        </w:rPr>
        <w:t>标准进行修订。</w:t>
      </w:r>
    </w:p>
    <w:p>
      <w:pPr>
        <w:spacing w:line="460" w:lineRule="exact"/>
        <w:rPr>
          <w:rFonts w:ascii="仿宋_GB2312" w:hAnsi="宋体" w:eastAsia="仿宋_GB2312"/>
          <w:b/>
          <w:bCs/>
          <w:sz w:val="28"/>
          <w:szCs w:val="28"/>
        </w:rPr>
      </w:pPr>
      <w:r>
        <w:rPr>
          <w:rFonts w:hint="eastAsia" w:ascii="仿宋_GB2312" w:hAnsi="宋体" w:eastAsia="仿宋_GB2312" w:cs="仿宋_GB2312"/>
          <w:b/>
          <w:bCs/>
          <w:sz w:val="28"/>
          <w:szCs w:val="28"/>
        </w:rPr>
        <w:t>八、贯彻标准的要求和措施建议</w:t>
      </w:r>
    </w:p>
    <w:p>
      <w:pPr>
        <w:pStyle w:val="26"/>
        <w:spacing w:line="460" w:lineRule="exact"/>
        <w:ind w:firstLine="560"/>
        <w:rPr>
          <w:rFonts w:ascii="仿宋_GB2312" w:hAnsi="宋体" w:eastAsia="仿宋_GB2312" w:cs="仿宋_GB2312"/>
          <w:kern w:val="2"/>
          <w:sz w:val="28"/>
          <w:szCs w:val="28"/>
          <w:highlight w:val="none"/>
          <w:u w:color="FFFFFF"/>
        </w:rPr>
      </w:pPr>
      <w:r>
        <w:rPr>
          <w:rFonts w:hint="eastAsia" w:ascii="仿宋_GB2312" w:hAnsi="宋体" w:eastAsia="仿宋_GB2312" w:cs="仿宋_GB2312"/>
          <w:kern w:val="2"/>
          <w:sz w:val="28"/>
          <w:szCs w:val="28"/>
          <w:highlight w:val="none"/>
          <w:u w:color="FFFFFF"/>
        </w:rPr>
        <w:t>从现状来看，</w:t>
      </w: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u w:color="FFFFFF"/>
          <w:lang w:val="en-US" w:eastAsia="zh-CN"/>
        </w:rPr>
        <w:t>文件</w:t>
      </w:r>
      <w:r>
        <w:rPr>
          <w:rFonts w:hint="eastAsia" w:ascii="仿宋_GB2312" w:hAnsi="宋体" w:eastAsia="仿宋_GB2312" w:cs="仿宋_GB2312"/>
          <w:kern w:val="2"/>
          <w:sz w:val="28"/>
          <w:szCs w:val="28"/>
          <w:highlight w:val="none"/>
          <w:u w:color="FFFFFF"/>
        </w:rPr>
        <w:t>为提高国内企业相关质量管理能力提供了方法，为尽快跟上国际标准的最新技术要求，且考虑标准使用方对标准的理解和掌握，1</w:t>
      </w:r>
      <w:r>
        <w:rPr>
          <w:rFonts w:ascii="仿宋_GB2312" w:hAnsi="宋体" w:eastAsia="仿宋_GB2312" w:cs="仿宋_GB2312"/>
          <w:kern w:val="2"/>
          <w:sz w:val="28"/>
          <w:szCs w:val="28"/>
          <w:highlight w:val="none"/>
          <w:u w:color="FFFFFF"/>
        </w:rPr>
        <w:t>2</w:t>
      </w:r>
      <w:r>
        <w:rPr>
          <w:rFonts w:hint="eastAsia" w:ascii="仿宋_GB2312" w:hAnsi="宋体" w:eastAsia="仿宋_GB2312" w:cs="仿宋_GB2312"/>
          <w:kern w:val="2"/>
          <w:sz w:val="28"/>
          <w:szCs w:val="28"/>
          <w:highlight w:val="none"/>
          <w:u w:color="FFFFFF"/>
        </w:rPr>
        <w:t>个月过渡期较为合理。经审定会全体参会委员表决通过，建议</w:t>
      </w: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u w:color="FFFFFF"/>
          <w:lang w:val="en-US" w:eastAsia="zh-CN"/>
        </w:rPr>
        <w:t>文件</w:t>
      </w:r>
      <w:r>
        <w:rPr>
          <w:rFonts w:hint="eastAsia" w:ascii="仿宋_GB2312" w:hAnsi="宋体" w:eastAsia="仿宋_GB2312" w:cs="仿宋_GB2312"/>
          <w:kern w:val="2"/>
          <w:sz w:val="28"/>
          <w:szCs w:val="28"/>
          <w:highlight w:val="none"/>
          <w:u w:color="FFFFFF"/>
        </w:rPr>
        <w:t>自发布之日起1</w:t>
      </w:r>
      <w:r>
        <w:rPr>
          <w:rFonts w:ascii="仿宋_GB2312" w:hAnsi="宋体" w:eastAsia="仿宋_GB2312" w:cs="仿宋_GB2312"/>
          <w:kern w:val="2"/>
          <w:sz w:val="28"/>
          <w:szCs w:val="28"/>
          <w:highlight w:val="none"/>
          <w:u w:color="FFFFFF"/>
        </w:rPr>
        <w:t>2</w:t>
      </w:r>
      <w:r>
        <w:rPr>
          <w:rFonts w:hint="eastAsia" w:ascii="仿宋_GB2312" w:hAnsi="宋体" w:eastAsia="仿宋_GB2312" w:cs="仿宋_GB2312"/>
          <w:kern w:val="2"/>
          <w:sz w:val="28"/>
          <w:szCs w:val="28"/>
          <w:highlight w:val="none"/>
          <w:u w:color="FFFFFF"/>
        </w:rPr>
        <w:t>个月后开始实施。</w:t>
      </w:r>
    </w:p>
    <w:p>
      <w:pPr>
        <w:spacing w:line="460" w:lineRule="exact"/>
        <w:rPr>
          <w:rFonts w:ascii="仿宋_GB2312" w:hAnsi="宋体" w:eastAsia="仿宋_GB2312"/>
          <w:b/>
          <w:bCs/>
          <w:sz w:val="28"/>
          <w:szCs w:val="28"/>
        </w:rPr>
      </w:pPr>
      <w:r>
        <w:rPr>
          <w:rFonts w:hint="eastAsia" w:ascii="仿宋_GB2312" w:hAnsi="宋体" w:eastAsia="仿宋_GB2312" w:cs="仿宋_GB2312"/>
          <w:b/>
          <w:bCs/>
          <w:sz w:val="28"/>
          <w:szCs w:val="28"/>
        </w:rPr>
        <w:t>九、废止现行有关标准的建议</w:t>
      </w:r>
    </w:p>
    <w:p>
      <w:pPr>
        <w:pStyle w:val="26"/>
        <w:spacing w:line="460" w:lineRule="exact"/>
        <w:ind w:firstLine="560"/>
        <w:rPr>
          <w:rFonts w:ascii="仿宋_GB2312" w:hAnsi="宋体" w:eastAsia="仿宋_GB2312" w:cs="Times New Roman"/>
          <w:kern w:val="2"/>
          <w:sz w:val="28"/>
          <w:szCs w:val="28"/>
          <w:u w:color="FFFFFF"/>
        </w:rPr>
      </w:pPr>
      <w:r>
        <w:rPr>
          <w:rFonts w:hint="eastAsia" w:ascii="仿宋_GB2312" w:hAnsi="宋体" w:eastAsia="仿宋_GB2312" w:cs="仿宋_GB2312"/>
          <w:sz w:val="28"/>
          <w:szCs w:val="28"/>
          <w:u w:color="FFFFFF"/>
        </w:rPr>
        <w:t>GB/T 19633.2-XXXX</w:t>
      </w:r>
      <w:r>
        <w:rPr>
          <w:rFonts w:hint="eastAsia" w:ascii="仿宋_GB2312" w:hAnsi="宋体" w:eastAsia="仿宋_GB2312" w:cs="仿宋_GB2312"/>
          <w:kern w:val="2"/>
          <w:sz w:val="28"/>
          <w:szCs w:val="28"/>
          <w:u w:color="FFFFFF"/>
        </w:rPr>
        <w:t>自发布实施起，将代替此前</w:t>
      </w:r>
      <w:r>
        <w:rPr>
          <w:rFonts w:hint="eastAsia" w:ascii="仿宋_GB2312" w:hAnsi="宋体" w:eastAsia="仿宋_GB2312" w:cs="仿宋_GB2312"/>
          <w:sz w:val="28"/>
          <w:szCs w:val="28"/>
          <w:u w:color="FFFFFF"/>
        </w:rPr>
        <w:t>GB/T 19633.2-2015</w:t>
      </w:r>
      <w:r>
        <w:rPr>
          <w:rFonts w:hint="eastAsia" w:ascii="仿宋_GB2312" w:hAnsi="宋体" w:eastAsia="仿宋_GB2312" w:cs="仿宋_GB2312"/>
          <w:kern w:val="2"/>
          <w:sz w:val="28"/>
          <w:szCs w:val="28"/>
          <w:u w:color="FFFFFF"/>
        </w:rPr>
        <w:t>标准。</w:t>
      </w:r>
    </w:p>
    <w:p>
      <w:pPr>
        <w:spacing w:line="460" w:lineRule="exact"/>
        <w:rPr>
          <w:rFonts w:ascii="仿宋_GB2312" w:hAnsi="宋体" w:eastAsia="仿宋_GB2312"/>
          <w:b/>
          <w:bCs/>
          <w:sz w:val="28"/>
          <w:szCs w:val="28"/>
        </w:rPr>
      </w:pPr>
      <w:r>
        <w:rPr>
          <w:rFonts w:hint="eastAsia" w:ascii="仿宋_GB2312" w:hAnsi="宋体" w:eastAsia="仿宋_GB2312" w:cs="仿宋_GB2312"/>
          <w:b/>
          <w:bCs/>
          <w:sz w:val="28"/>
          <w:szCs w:val="28"/>
        </w:rPr>
        <w:t>十、其他应予说明的</w:t>
      </w:r>
    </w:p>
    <w:p>
      <w:pPr>
        <w:pStyle w:val="26"/>
        <w:spacing w:line="460" w:lineRule="exact"/>
        <w:ind w:firstLine="560"/>
        <w:rPr>
          <w:rFonts w:ascii="仿宋_GB2312" w:hAnsi="宋体" w:eastAsia="仿宋_GB2312" w:cs="仿宋_GB2312"/>
          <w:kern w:val="2"/>
          <w:sz w:val="28"/>
          <w:szCs w:val="28"/>
          <w:u w:color="FFFFFF"/>
        </w:rPr>
      </w:pPr>
      <w:r>
        <w:rPr>
          <w:rFonts w:hint="eastAsia" w:ascii="仿宋_GB2312" w:hAnsi="宋体" w:eastAsia="仿宋_GB2312" w:cs="仿宋_GB2312"/>
          <w:sz w:val="28"/>
          <w:szCs w:val="28"/>
          <w:u w:color="FFFFFF"/>
        </w:rPr>
        <w:t>本</w:t>
      </w:r>
      <w:r>
        <w:rPr>
          <w:rFonts w:hint="eastAsia" w:ascii="仿宋_GB2312" w:hAnsi="宋体" w:eastAsia="仿宋_GB2312" w:cs="仿宋_GB2312"/>
          <w:sz w:val="28"/>
          <w:szCs w:val="28"/>
          <w:u w:color="FFFFFF"/>
          <w:lang w:val="en-US" w:eastAsia="zh-CN"/>
        </w:rPr>
        <w:t>文件</w:t>
      </w:r>
      <w:r>
        <w:rPr>
          <w:rFonts w:hint="eastAsia" w:ascii="仿宋_GB2312" w:hAnsi="宋体" w:eastAsia="仿宋_GB2312" w:cs="仿宋_GB2312"/>
          <w:kern w:val="2"/>
          <w:sz w:val="28"/>
          <w:szCs w:val="28"/>
          <w:u w:color="FFFFFF"/>
        </w:rPr>
        <w:t>所引用的规范性引用文件如下：</w:t>
      </w:r>
    </w:p>
    <w:p>
      <w:pPr>
        <w:pStyle w:val="26"/>
        <w:spacing w:line="460" w:lineRule="exact"/>
        <w:ind w:firstLine="560"/>
        <w:rPr>
          <w:rFonts w:ascii="仿宋_GB2312" w:hAnsi="宋体" w:eastAsia="仿宋_GB2312" w:cs="仿宋_GB2312"/>
          <w:kern w:val="2"/>
          <w:sz w:val="28"/>
          <w:szCs w:val="28"/>
          <w:highlight w:val="yellow"/>
          <w:u w:color="FFFFFF"/>
        </w:rPr>
      </w:pPr>
      <w:r>
        <w:rPr>
          <w:rFonts w:hint="eastAsia" w:ascii="仿宋_GB2312" w:hAnsi="宋体" w:eastAsia="仿宋_GB2312" w:cs="仿宋_GB2312"/>
          <w:kern w:val="2"/>
          <w:sz w:val="28"/>
          <w:szCs w:val="28"/>
          <w:highlight w:val="yellow"/>
          <w:u w:color="FFFFFF"/>
        </w:rPr>
        <w:t>GB/T 19633.1-20XX 最终灭菌医疗器械包装第1部分：材料、无菌屏障系统和包装系统的要求（ISO 11607-1:2019，IDT）</w:t>
      </w:r>
    </w:p>
    <w:p>
      <w:pPr>
        <w:pStyle w:val="26"/>
        <w:spacing w:line="460" w:lineRule="exact"/>
        <w:ind w:firstLine="560"/>
        <w:rPr>
          <w:rFonts w:ascii="仿宋_GB2312" w:hAnsi="宋体" w:eastAsia="仿宋_GB2312" w:cs="仿宋_GB2312"/>
          <w:kern w:val="2"/>
          <w:sz w:val="28"/>
          <w:szCs w:val="28"/>
          <w:u w:color="FFFFFF"/>
        </w:rPr>
      </w:pPr>
    </w:p>
    <w:p>
      <w:pPr>
        <w:pStyle w:val="6"/>
        <w:spacing w:line="460" w:lineRule="exact"/>
        <w:ind w:left="3500" w:leftChars="1600" w:right="1040" w:hanging="140" w:hangingChars="50"/>
        <w:jc w:val="both"/>
        <w:rPr>
          <w:rFonts w:ascii="仿宋_GB2312" w:hAnsi="宋体" w:eastAsia="仿宋_GB2312" w:cs="仿宋_GB2312"/>
          <w:sz w:val="28"/>
          <w:szCs w:val="28"/>
          <w:u w:color="FFFFFF"/>
        </w:rPr>
      </w:pPr>
      <w:r>
        <w:rPr>
          <w:rFonts w:hint="eastAsia" w:ascii="仿宋_GB2312" w:hAnsi="宋体" w:eastAsia="仿宋_GB2312" w:cs="仿宋_GB2312"/>
          <w:sz w:val="28"/>
          <w:szCs w:val="28"/>
          <w:u w:color="FFFFFF"/>
        </w:rPr>
        <w:t>《</w:t>
      </w:r>
      <w:r>
        <w:rPr>
          <w:rFonts w:hint="eastAsia" w:ascii="仿宋_GB2312" w:hAnsi="宋体" w:eastAsia="仿宋_GB2312" w:cs="仿宋_GB2312"/>
          <w:sz w:val="28"/>
          <w:szCs w:val="28"/>
          <w:highlight w:val="none"/>
        </w:rPr>
        <w:t>最终灭菌医疗器械包装</w:t>
      </w:r>
      <w:r>
        <w:rPr>
          <w:rFonts w:hint="eastAsia" w:ascii="仿宋_GB2312" w:hAnsi="宋体" w:eastAsia="仿宋_GB2312" w:cs="仿宋_GB2312"/>
          <w:sz w:val="28"/>
          <w:szCs w:val="28"/>
          <w:highlight w:val="none"/>
          <w:lang w:val="en-US" w:eastAsia="zh-CN"/>
        </w:rPr>
        <w:t xml:space="preserve"> </w:t>
      </w:r>
      <w:r>
        <w:rPr>
          <w:rFonts w:hint="eastAsia" w:ascii="仿宋_GB2312" w:hAnsi="宋体" w:eastAsia="仿宋_GB2312" w:cs="仿宋_GB2312"/>
          <w:sz w:val="28"/>
          <w:szCs w:val="28"/>
          <w:highlight w:val="none"/>
        </w:rPr>
        <w:t>第2部分：成型、密封和装配过程的确认的要求</w:t>
      </w:r>
      <w:r>
        <w:rPr>
          <w:rFonts w:hint="eastAsia" w:ascii="仿宋_GB2312" w:hAnsi="宋体" w:eastAsia="仿宋_GB2312" w:cs="仿宋_GB2312"/>
          <w:sz w:val="28"/>
          <w:szCs w:val="28"/>
          <w:u w:color="FFFFFF"/>
        </w:rPr>
        <w:t>》起草小组</w:t>
      </w:r>
    </w:p>
    <w:p>
      <w:pPr>
        <w:pStyle w:val="6"/>
        <w:spacing w:line="460" w:lineRule="exact"/>
        <w:ind w:right="480"/>
        <w:jc w:val="right"/>
        <w:rPr>
          <w:rFonts w:ascii="仿宋_GB2312" w:hAnsi="宋体" w:eastAsia="仿宋_GB2312" w:cs="仿宋_GB2312"/>
          <w:sz w:val="28"/>
          <w:szCs w:val="28"/>
          <w:u w:color="FFFFFF"/>
        </w:rPr>
      </w:pPr>
      <w:r>
        <w:rPr>
          <w:rFonts w:hint="eastAsia" w:ascii="仿宋_GB2312" w:hAnsi="宋体" w:eastAsia="仿宋_GB2312" w:cs="仿宋_GB2312"/>
          <w:sz w:val="28"/>
          <w:szCs w:val="28"/>
          <w:u w:color="FFFFFF"/>
        </w:rPr>
        <w:t>2022</w:t>
      </w:r>
      <w:r>
        <w:rPr>
          <w:rFonts w:ascii="仿宋_GB2312" w:hAnsi="宋体" w:eastAsia="仿宋_GB2312" w:cs="仿宋_GB2312"/>
          <w:sz w:val="28"/>
          <w:szCs w:val="28"/>
          <w:u w:color="FFFFFF"/>
        </w:rPr>
        <w:t>年</w:t>
      </w:r>
      <w:r>
        <w:rPr>
          <w:rFonts w:hint="eastAsia" w:ascii="仿宋_GB2312" w:hAnsi="宋体" w:eastAsia="仿宋_GB2312" w:cs="仿宋_GB2312"/>
          <w:sz w:val="28"/>
          <w:szCs w:val="28"/>
          <w:u w:color="FFFFFF"/>
        </w:rPr>
        <w:t>X</w:t>
      </w:r>
      <w:r>
        <w:rPr>
          <w:rFonts w:ascii="仿宋_GB2312" w:hAnsi="宋体" w:eastAsia="仿宋_GB2312" w:cs="仿宋_GB2312"/>
          <w:sz w:val="28"/>
          <w:szCs w:val="28"/>
          <w:u w:color="FFFFFF"/>
        </w:rPr>
        <w:t>月</w:t>
      </w:r>
      <w:r>
        <w:rPr>
          <w:rFonts w:hint="eastAsia" w:ascii="仿宋_GB2312" w:hAnsi="宋体" w:eastAsia="仿宋_GB2312" w:cs="仿宋_GB2312"/>
          <w:sz w:val="28"/>
          <w:szCs w:val="28"/>
          <w:u w:color="FFFFFF"/>
        </w:rPr>
        <w:t>X</w:t>
      </w:r>
      <w:r>
        <w:rPr>
          <w:rFonts w:ascii="仿宋_GB2312" w:hAnsi="宋体" w:eastAsia="仿宋_GB2312" w:cs="仿宋_GB2312"/>
          <w:sz w:val="28"/>
          <w:szCs w:val="28"/>
          <w:u w:color="FFFFFF"/>
        </w:rPr>
        <w:t>日</w:t>
      </w:r>
    </w:p>
    <w:sectPr>
      <w:headerReference r:id="rId3" w:type="default"/>
      <w:footerReference r:id="rId4" w:type="default"/>
      <w:pgSz w:w="11906" w:h="16838"/>
      <w:pgMar w:top="1418" w:right="851" w:bottom="1418" w:left="1418"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17"/>
      </w:rPr>
    </w:pPr>
    <w:r>
      <w:rPr>
        <w:rStyle w:val="17"/>
      </w:rPr>
      <w:fldChar w:fldCharType="begin"/>
    </w:r>
    <w:r>
      <w:rPr>
        <w:rStyle w:val="17"/>
      </w:rPr>
      <w:instrText xml:space="preserve">PAGE  </w:instrText>
    </w:r>
    <w:r>
      <w:rPr>
        <w:rStyle w:val="17"/>
      </w:rPr>
      <w:fldChar w:fldCharType="separate"/>
    </w:r>
    <w:r>
      <w:rPr>
        <w:rStyle w:val="17"/>
      </w:rPr>
      <w:t>3</w:t>
    </w:r>
    <w:r>
      <w:rPr>
        <w:rStyle w:val="17"/>
      </w:rPr>
      <w:fldChar w:fldCharType="end"/>
    </w:r>
  </w:p>
  <w:p>
    <w:pPr>
      <w:pStyle w:val="11"/>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right="105"/>
      <w:jc w:val="right"/>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5917C3"/>
    <w:multiLevelType w:val="multilevel"/>
    <w:tmpl w:val="2C5917C3"/>
    <w:lvl w:ilvl="0" w:tentative="0">
      <w:start w:val="1"/>
      <w:numFmt w:val="none"/>
      <w:pStyle w:val="58"/>
      <w:suff w:val="nothing"/>
      <w:lvlText w:val="%1——"/>
      <w:lvlJc w:val="left"/>
      <w:pPr>
        <w:ind w:left="833" w:hanging="408"/>
      </w:pPr>
      <w:rPr>
        <w:rFonts w:hint="eastAsia"/>
      </w:rPr>
    </w:lvl>
    <w:lvl w:ilvl="1" w:tentative="0">
      <w:start w:val="1"/>
      <w:numFmt w:val="bullet"/>
      <w:pStyle w:val="59"/>
      <w:lvlText w:val=""/>
      <w:lvlJc w:val="left"/>
      <w:pPr>
        <w:tabs>
          <w:tab w:val="left" w:pos="760"/>
        </w:tabs>
        <w:ind w:left="1264" w:hanging="413"/>
      </w:pPr>
      <w:rPr>
        <w:rFonts w:hint="default" w:ascii="Symbol" w:hAnsi="Symbol"/>
        <w:color w:val="auto"/>
      </w:rPr>
    </w:lvl>
    <w:lvl w:ilvl="2" w:tentative="0">
      <w:start w:val="1"/>
      <w:numFmt w:val="bullet"/>
      <w:pStyle w:val="6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oNotHyphenateCaps/>
  <w:drawingGridHorizontalSpacing w:val="0"/>
  <w:drawingGridVerticalSpacing w:val="156"/>
  <w:displayHorizontalDrawingGridEvery w:val="0"/>
  <w:displayVerticalDrawingGridEvery w:val="2"/>
  <w:doNotShadeFormData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536B"/>
    <w:rsid w:val="00011FE1"/>
    <w:rsid w:val="00012036"/>
    <w:rsid w:val="00012B8B"/>
    <w:rsid w:val="0001397F"/>
    <w:rsid w:val="00016D5A"/>
    <w:rsid w:val="00016DB5"/>
    <w:rsid w:val="00021247"/>
    <w:rsid w:val="00023824"/>
    <w:rsid w:val="000409CB"/>
    <w:rsid w:val="000421A8"/>
    <w:rsid w:val="00046FF8"/>
    <w:rsid w:val="000672B3"/>
    <w:rsid w:val="000731B9"/>
    <w:rsid w:val="000820FF"/>
    <w:rsid w:val="00082201"/>
    <w:rsid w:val="00082501"/>
    <w:rsid w:val="00091C1F"/>
    <w:rsid w:val="00092890"/>
    <w:rsid w:val="00092CEA"/>
    <w:rsid w:val="00097628"/>
    <w:rsid w:val="000C14C9"/>
    <w:rsid w:val="000C1CE1"/>
    <w:rsid w:val="000D4D8A"/>
    <w:rsid w:val="000E2BFB"/>
    <w:rsid w:val="00121E2A"/>
    <w:rsid w:val="00123007"/>
    <w:rsid w:val="001242BC"/>
    <w:rsid w:val="00126E0D"/>
    <w:rsid w:val="00140154"/>
    <w:rsid w:val="00141DEB"/>
    <w:rsid w:val="00154BE4"/>
    <w:rsid w:val="00170A56"/>
    <w:rsid w:val="00172A27"/>
    <w:rsid w:val="001744D4"/>
    <w:rsid w:val="0017497C"/>
    <w:rsid w:val="00174BD7"/>
    <w:rsid w:val="0018547D"/>
    <w:rsid w:val="00196DC1"/>
    <w:rsid w:val="001A0755"/>
    <w:rsid w:val="001A1B24"/>
    <w:rsid w:val="001A317C"/>
    <w:rsid w:val="001B2E63"/>
    <w:rsid w:val="001C0D63"/>
    <w:rsid w:val="001C1F11"/>
    <w:rsid w:val="001D1A3D"/>
    <w:rsid w:val="001D7FAA"/>
    <w:rsid w:val="001F1DC8"/>
    <w:rsid w:val="00200EF6"/>
    <w:rsid w:val="00207FB7"/>
    <w:rsid w:val="0021238E"/>
    <w:rsid w:val="00215DDF"/>
    <w:rsid w:val="00216854"/>
    <w:rsid w:val="002211F5"/>
    <w:rsid w:val="00224E32"/>
    <w:rsid w:val="00226C69"/>
    <w:rsid w:val="002277E2"/>
    <w:rsid w:val="00230793"/>
    <w:rsid w:val="002438BC"/>
    <w:rsid w:val="00291938"/>
    <w:rsid w:val="002A2FE9"/>
    <w:rsid w:val="002D7B41"/>
    <w:rsid w:val="002E4FB1"/>
    <w:rsid w:val="00302A16"/>
    <w:rsid w:val="003106B6"/>
    <w:rsid w:val="003500CE"/>
    <w:rsid w:val="00353594"/>
    <w:rsid w:val="00353C01"/>
    <w:rsid w:val="00364D38"/>
    <w:rsid w:val="00376F9E"/>
    <w:rsid w:val="00381A73"/>
    <w:rsid w:val="003B1047"/>
    <w:rsid w:val="003C0116"/>
    <w:rsid w:val="003C0CA1"/>
    <w:rsid w:val="003C37CC"/>
    <w:rsid w:val="003D1665"/>
    <w:rsid w:val="003E3D4A"/>
    <w:rsid w:val="003F025B"/>
    <w:rsid w:val="004012DD"/>
    <w:rsid w:val="00416754"/>
    <w:rsid w:val="00420533"/>
    <w:rsid w:val="004216A7"/>
    <w:rsid w:val="004251E2"/>
    <w:rsid w:val="00457832"/>
    <w:rsid w:val="0047487D"/>
    <w:rsid w:val="0047569D"/>
    <w:rsid w:val="0048081D"/>
    <w:rsid w:val="004820BB"/>
    <w:rsid w:val="00487EC2"/>
    <w:rsid w:val="004A56EF"/>
    <w:rsid w:val="004B2BBF"/>
    <w:rsid w:val="004B4729"/>
    <w:rsid w:val="004E134B"/>
    <w:rsid w:val="004E4176"/>
    <w:rsid w:val="004E5BCD"/>
    <w:rsid w:val="004E622F"/>
    <w:rsid w:val="004F328A"/>
    <w:rsid w:val="005024C5"/>
    <w:rsid w:val="0051792D"/>
    <w:rsid w:val="00531F31"/>
    <w:rsid w:val="005335D9"/>
    <w:rsid w:val="005419CF"/>
    <w:rsid w:val="00545AE0"/>
    <w:rsid w:val="00553E68"/>
    <w:rsid w:val="0055524E"/>
    <w:rsid w:val="00562D45"/>
    <w:rsid w:val="00572FA0"/>
    <w:rsid w:val="00581046"/>
    <w:rsid w:val="005950E1"/>
    <w:rsid w:val="005A18A7"/>
    <w:rsid w:val="005A3C52"/>
    <w:rsid w:val="005A6D1E"/>
    <w:rsid w:val="005A7677"/>
    <w:rsid w:val="005B4A3A"/>
    <w:rsid w:val="005C0CD9"/>
    <w:rsid w:val="005C7965"/>
    <w:rsid w:val="005C7DAB"/>
    <w:rsid w:val="005D468C"/>
    <w:rsid w:val="005D6C54"/>
    <w:rsid w:val="005D7D58"/>
    <w:rsid w:val="00614F3E"/>
    <w:rsid w:val="006235E5"/>
    <w:rsid w:val="0063105B"/>
    <w:rsid w:val="006370F2"/>
    <w:rsid w:val="006412A8"/>
    <w:rsid w:val="006417B2"/>
    <w:rsid w:val="006462E4"/>
    <w:rsid w:val="00664178"/>
    <w:rsid w:val="006644B0"/>
    <w:rsid w:val="00675F0E"/>
    <w:rsid w:val="00684552"/>
    <w:rsid w:val="0069422A"/>
    <w:rsid w:val="0069794D"/>
    <w:rsid w:val="006A2FF0"/>
    <w:rsid w:val="006B02EA"/>
    <w:rsid w:val="006B4064"/>
    <w:rsid w:val="006B4D27"/>
    <w:rsid w:val="006B7B6E"/>
    <w:rsid w:val="006C28CA"/>
    <w:rsid w:val="006C4513"/>
    <w:rsid w:val="006C519E"/>
    <w:rsid w:val="006E66F3"/>
    <w:rsid w:val="006E72C4"/>
    <w:rsid w:val="006F04E1"/>
    <w:rsid w:val="0070121B"/>
    <w:rsid w:val="007068E4"/>
    <w:rsid w:val="0070744F"/>
    <w:rsid w:val="007140E0"/>
    <w:rsid w:val="007178A5"/>
    <w:rsid w:val="00721B1B"/>
    <w:rsid w:val="00726EFB"/>
    <w:rsid w:val="00730B96"/>
    <w:rsid w:val="007542F0"/>
    <w:rsid w:val="00756720"/>
    <w:rsid w:val="00761AC7"/>
    <w:rsid w:val="00772DF3"/>
    <w:rsid w:val="00777980"/>
    <w:rsid w:val="00785C80"/>
    <w:rsid w:val="00785CE6"/>
    <w:rsid w:val="007879E9"/>
    <w:rsid w:val="0079525F"/>
    <w:rsid w:val="007B4181"/>
    <w:rsid w:val="007B6FF1"/>
    <w:rsid w:val="007B796F"/>
    <w:rsid w:val="007C0F48"/>
    <w:rsid w:val="007C468C"/>
    <w:rsid w:val="007D3FD1"/>
    <w:rsid w:val="007E64F0"/>
    <w:rsid w:val="007F44C4"/>
    <w:rsid w:val="00833842"/>
    <w:rsid w:val="00833B52"/>
    <w:rsid w:val="00834B4D"/>
    <w:rsid w:val="008364BE"/>
    <w:rsid w:val="00837D56"/>
    <w:rsid w:val="00844779"/>
    <w:rsid w:val="008579FC"/>
    <w:rsid w:val="00876A57"/>
    <w:rsid w:val="00877ACA"/>
    <w:rsid w:val="008931C5"/>
    <w:rsid w:val="008958AE"/>
    <w:rsid w:val="00896EBD"/>
    <w:rsid w:val="008A1425"/>
    <w:rsid w:val="008A439A"/>
    <w:rsid w:val="008A5C0B"/>
    <w:rsid w:val="008A7A33"/>
    <w:rsid w:val="008B4DDA"/>
    <w:rsid w:val="008C07BC"/>
    <w:rsid w:val="008C1C94"/>
    <w:rsid w:val="008D3E1A"/>
    <w:rsid w:val="008E286F"/>
    <w:rsid w:val="008E2D1D"/>
    <w:rsid w:val="009011DC"/>
    <w:rsid w:val="00902F27"/>
    <w:rsid w:val="009037A1"/>
    <w:rsid w:val="00910434"/>
    <w:rsid w:val="00914171"/>
    <w:rsid w:val="009206B8"/>
    <w:rsid w:val="0092371B"/>
    <w:rsid w:val="00923817"/>
    <w:rsid w:val="00933A5E"/>
    <w:rsid w:val="00934CDF"/>
    <w:rsid w:val="00943B45"/>
    <w:rsid w:val="009539FB"/>
    <w:rsid w:val="00975124"/>
    <w:rsid w:val="009A4EF4"/>
    <w:rsid w:val="009C0B09"/>
    <w:rsid w:val="009C36BC"/>
    <w:rsid w:val="009C68ED"/>
    <w:rsid w:val="009D7D9D"/>
    <w:rsid w:val="009F6C21"/>
    <w:rsid w:val="00A00BDA"/>
    <w:rsid w:val="00A00C40"/>
    <w:rsid w:val="00A12FA4"/>
    <w:rsid w:val="00A21CC9"/>
    <w:rsid w:val="00A240D3"/>
    <w:rsid w:val="00A40C46"/>
    <w:rsid w:val="00A42675"/>
    <w:rsid w:val="00A533F6"/>
    <w:rsid w:val="00A63A20"/>
    <w:rsid w:val="00A803B5"/>
    <w:rsid w:val="00A80D6F"/>
    <w:rsid w:val="00A823B7"/>
    <w:rsid w:val="00A8459A"/>
    <w:rsid w:val="00A902AC"/>
    <w:rsid w:val="00A90C69"/>
    <w:rsid w:val="00AA1440"/>
    <w:rsid w:val="00AA191E"/>
    <w:rsid w:val="00AB49BC"/>
    <w:rsid w:val="00AD3E27"/>
    <w:rsid w:val="00AD3F91"/>
    <w:rsid w:val="00AE3079"/>
    <w:rsid w:val="00AE3A1A"/>
    <w:rsid w:val="00AE3E54"/>
    <w:rsid w:val="00AF2C2E"/>
    <w:rsid w:val="00B0344D"/>
    <w:rsid w:val="00B102A2"/>
    <w:rsid w:val="00B22AAB"/>
    <w:rsid w:val="00B2739E"/>
    <w:rsid w:val="00B27873"/>
    <w:rsid w:val="00B35187"/>
    <w:rsid w:val="00B44BEE"/>
    <w:rsid w:val="00B76D0E"/>
    <w:rsid w:val="00B814D3"/>
    <w:rsid w:val="00B82568"/>
    <w:rsid w:val="00B846D9"/>
    <w:rsid w:val="00B916F1"/>
    <w:rsid w:val="00B941CF"/>
    <w:rsid w:val="00B9612D"/>
    <w:rsid w:val="00BA3D8B"/>
    <w:rsid w:val="00BB07ED"/>
    <w:rsid w:val="00BC13E0"/>
    <w:rsid w:val="00BC342E"/>
    <w:rsid w:val="00BC427D"/>
    <w:rsid w:val="00BC5E2D"/>
    <w:rsid w:val="00BD3979"/>
    <w:rsid w:val="00BD3F24"/>
    <w:rsid w:val="00BD7BDC"/>
    <w:rsid w:val="00BE2908"/>
    <w:rsid w:val="00BE37CF"/>
    <w:rsid w:val="00BE4152"/>
    <w:rsid w:val="00BF2CDE"/>
    <w:rsid w:val="00BF46D9"/>
    <w:rsid w:val="00C00B07"/>
    <w:rsid w:val="00C03605"/>
    <w:rsid w:val="00C05C54"/>
    <w:rsid w:val="00C17CE9"/>
    <w:rsid w:val="00C2407F"/>
    <w:rsid w:val="00C2508E"/>
    <w:rsid w:val="00C25782"/>
    <w:rsid w:val="00C25C86"/>
    <w:rsid w:val="00C26D86"/>
    <w:rsid w:val="00C43C71"/>
    <w:rsid w:val="00C44865"/>
    <w:rsid w:val="00C51A6D"/>
    <w:rsid w:val="00C56EF2"/>
    <w:rsid w:val="00C61AE4"/>
    <w:rsid w:val="00C63C65"/>
    <w:rsid w:val="00C71E70"/>
    <w:rsid w:val="00C771DE"/>
    <w:rsid w:val="00C81AB3"/>
    <w:rsid w:val="00C96484"/>
    <w:rsid w:val="00CA3597"/>
    <w:rsid w:val="00CA387E"/>
    <w:rsid w:val="00CA65D7"/>
    <w:rsid w:val="00CB51D3"/>
    <w:rsid w:val="00CB78A3"/>
    <w:rsid w:val="00CC3AB5"/>
    <w:rsid w:val="00CD0AF5"/>
    <w:rsid w:val="00CE0C79"/>
    <w:rsid w:val="00CF1421"/>
    <w:rsid w:val="00CF560E"/>
    <w:rsid w:val="00CF5DFF"/>
    <w:rsid w:val="00CF7984"/>
    <w:rsid w:val="00D02891"/>
    <w:rsid w:val="00D25C7C"/>
    <w:rsid w:val="00D27598"/>
    <w:rsid w:val="00D27DF8"/>
    <w:rsid w:val="00D30049"/>
    <w:rsid w:val="00D3050A"/>
    <w:rsid w:val="00D55B43"/>
    <w:rsid w:val="00D6049F"/>
    <w:rsid w:val="00D778F4"/>
    <w:rsid w:val="00D82CCD"/>
    <w:rsid w:val="00D849EB"/>
    <w:rsid w:val="00D92763"/>
    <w:rsid w:val="00D942B4"/>
    <w:rsid w:val="00D976CB"/>
    <w:rsid w:val="00DB3CE6"/>
    <w:rsid w:val="00DC02F6"/>
    <w:rsid w:val="00DC03DC"/>
    <w:rsid w:val="00DE16DD"/>
    <w:rsid w:val="00DF178D"/>
    <w:rsid w:val="00DF37FE"/>
    <w:rsid w:val="00DF583E"/>
    <w:rsid w:val="00E11A60"/>
    <w:rsid w:val="00E14659"/>
    <w:rsid w:val="00E249A7"/>
    <w:rsid w:val="00E33195"/>
    <w:rsid w:val="00E43028"/>
    <w:rsid w:val="00E50971"/>
    <w:rsid w:val="00E578AB"/>
    <w:rsid w:val="00E66EDC"/>
    <w:rsid w:val="00E7079E"/>
    <w:rsid w:val="00E77D4A"/>
    <w:rsid w:val="00E83D2B"/>
    <w:rsid w:val="00EB0841"/>
    <w:rsid w:val="00EB5800"/>
    <w:rsid w:val="00EB74B4"/>
    <w:rsid w:val="00EE2B5F"/>
    <w:rsid w:val="00EF0DD8"/>
    <w:rsid w:val="00EF3E87"/>
    <w:rsid w:val="00F0054E"/>
    <w:rsid w:val="00F277A9"/>
    <w:rsid w:val="00F27D14"/>
    <w:rsid w:val="00F41264"/>
    <w:rsid w:val="00F47532"/>
    <w:rsid w:val="00F626B3"/>
    <w:rsid w:val="00F741A9"/>
    <w:rsid w:val="00F77D70"/>
    <w:rsid w:val="00F82A2A"/>
    <w:rsid w:val="00F919BA"/>
    <w:rsid w:val="00FB209E"/>
    <w:rsid w:val="00FD0173"/>
    <w:rsid w:val="00FE335F"/>
    <w:rsid w:val="00FE6931"/>
    <w:rsid w:val="00FF2984"/>
    <w:rsid w:val="058774CE"/>
    <w:rsid w:val="0F847DE1"/>
    <w:rsid w:val="12F301CD"/>
    <w:rsid w:val="24905F13"/>
    <w:rsid w:val="29EB2137"/>
    <w:rsid w:val="2E4037FA"/>
    <w:rsid w:val="32B47FC0"/>
    <w:rsid w:val="41AD130B"/>
    <w:rsid w:val="44D609FC"/>
    <w:rsid w:val="458E110D"/>
    <w:rsid w:val="4E4F1568"/>
    <w:rsid w:val="53EC7277"/>
    <w:rsid w:val="54D31BC2"/>
    <w:rsid w:val="56802EB9"/>
    <w:rsid w:val="5B333BCE"/>
    <w:rsid w:val="646B0036"/>
    <w:rsid w:val="65347FEC"/>
    <w:rsid w:val="741C30FB"/>
    <w:rsid w:val="7CD06E8B"/>
    <w:rsid w:val="7D2D6F15"/>
    <w:rsid w:val="7E414BF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9"/>
    <w:qFormat/>
    <w:uiPriority w:val="99"/>
    <w:pPr>
      <w:keepNext/>
      <w:tabs>
        <w:tab w:val="left" w:pos="1080"/>
      </w:tabs>
      <w:jc w:val="center"/>
      <w:outlineLvl w:val="0"/>
    </w:pPr>
    <w:rPr>
      <w:rFonts w:eastAsia="黑体"/>
      <w:sz w:val="32"/>
      <w:szCs w:val="32"/>
    </w:rPr>
  </w:style>
  <w:style w:type="paragraph" w:styleId="3">
    <w:name w:val="heading 2"/>
    <w:basedOn w:val="1"/>
    <w:next w:val="1"/>
    <w:link w:val="20"/>
    <w:qFormat/>
    <w:uiPriority w:val="99"/>
    <w:pPr>
      <w:keepNext/>
      <w:tabs>
        <w:tab w:val="left" w:pos="720"/>
      </w:tabs>
      <w:jc w:val="center"/>
      <w:outlineLvl w:val="1"/>
    </w:pPr>
    <w:rPr>
      <w:rFonts w:ascii="黑体" w:eastAsia="黑体" w:cs="黑体"/>
      <w:sz w:val="28"/>
      <w:szCs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pPr>
  </w:style>
  <w:style w:type="paragraph" w:styleId="5">
    <w:name w:val="annotation text"/>
    <w:basedOn w:val="1"/>
    <w:link w:val="30"/>
    <w:qFormat/>
    <w:uiPriority w:val="99"/>
    <w:pPr>
      <w:jc w:val="left"/>
    </w:pPr>
  </w:style>
  <w:style w:type="paragraph" w:styleId="6">
    <w:name w:val="Body Text"/>
    <w:basedOn w:val="1"/>
    <w:link w:val="34"/>
    <w:qFormat/>
    <w:uiPriority w:val="99"/>
    <w:pPr>
      <w:jc w:val="center"/>
    </w:pPr>
    <w:rPr>
      <w:sz w:val="84"/>
      <w:szCs w:val="84"/>
    </w:rPr>
  </w:style>
  <w:style w:type="paragraph" w:styleId="7">
    <w:name w:val="Body Text Indent"/>
    <w:basedOn w:val="1"/>
    <w:link w:val="42"/>
    <w:qFormat/>
    <w:uiPriority w:val="99"/>
    <w:pPr>
      <w:spacing w:line="360" w:lineRule="auto"/>
      <w:ind w:left="2400" w:hanging="2400" w:hangingChars="1000"/>
    </w:pPr>
    <w:rPr>
      <w:sz w:val="24"/>
      <w:szCs w:val="24"/>
    </w:rPr>
  </w:style>
  <w:style w:type="paragraph" w:styleId="8">
    <w:name w:val="Date"/>
    <w:basedOn w:val="1"/>
    <w:next w:val="1"/>
    <w:link w:val="50"/>
    <w:qFormat/>
    <w:uiPriority w:val="99"/>
    <w:pPr>
      <w:ind w:left="100" w:leftChars="2500"/>
    </w:pPr>
    <w:rPr>
      <w:sz w:val="24"/>
      <w:szCs w:val="24"/>
    </w:rPr>
  </w:style>
  <w:style w:type="paragraph" w:styleId="9">
    <w:name w:val="Body Text Indent 2"/>
    <w:basedOn w:val="1"/>
    <w:link w:val="43"/>
    <w:qFormat/>
    <w:uiPriority w:val="99"/>
    <w:pPr>
      <w:spacing w:line="360" w:lineRule="auto"/>
      <w:ind w:firstLine="360" w:firstLineChars="150"/>
    </w:pPr>
    <w:rPr>
      <w:sz w:val="24"/>
      <w:szCs w:val="24"/>
    </w:rPr>
  </w:style>
  <w:style w:type="paragraph" w:styleId="10">
    <w:name w:val="Balloon Text"/>
    <w:basedOn w:val="1"/>
    <w:link w:val="49"/>
    <w:semiHidden/>
    <w:qFormat/>
    <w:uiPriority w:val="99"/>
    <w:rPr>
      <w:sz w:val="18"/>
      <w:szCs w:val="18"/>
    </w:rPr>
  </w:style>
  <w:style w:type="paragraph" w:styleId="11">
    <w:name w:val="footer"/>
    <w:basedOn w:val="1"/>
    <w:link w:val="56"/>
    <w:qFormat/>
    <w:uiPriority w:val="99"/>
    <w:pPr>
      <w:tabs>
        <w:tab w:val="center" w:pos="4153"/>
        <w:tab w:val="right" w:pos="8306"/>
      </w:tabs>
      <w:snapToGrid w:val="0"/>
      <w:jc w:val="left"/>
    </w:pPr>
    <w:rPr>
      <w:sz w:val="18"/>
      <w:szCs w:val="18"/>
    </w:rPr>
  </w:style>
  <w:style w:type="paragraph" w:styleId="12">
    <w:name w:val="header"/>
    <w:basedOn w:val="1"/>
    <w:link w:val="40"/>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Indent 3"/>
    <w:basedOn w:val="1"/>
    <w:link w:val="41"/>
    <w:qFormat/>
    <w:uiPriority w:val="99"/>
    <w:pPr>
      <w:spacing w:line="360" w:lineRule="auto"/>
      <w:ind w:firstLine="480"/>
    </w:pPr>
  </w:style>
  <w:style w:type="paragraph" w:styleId="14">
    <w:name w:val="annotation subject"/>
    <w:basedOn w:val="5"/>
    <w:next w:val="5"/>
    <w:link w:val="54"/>
    <w:semiHidden/>
    <w:qFormat/>
    <w:uiPriority w:val="99"/>
    <w:rPr>
      <w:b/>
      <w:bCs/>
    </w:rPr>
  </w:style>
  <w:style w:type="character" w:styleId="17">
    <w:name w:val="page number"/>
    <w:basedOn w:val="16"/>
    <w:qFormat/>
    <w:uiPriority w:val="99"/>
  </w:style>
  <w:style w:type="character" w:styleId="18">
    <w:name w:val="annotation reference"/>
    <w:qFormat/>
    <w:uiPriority w:val="99"/>
    <w:rPr>
      <w:sz w:val="21"/>
      <w:szCs w:val="21"/>
    </w:rPr>
  </w:style>
  <w:style w:type="character" w:customStyle="1" w:styleId="19">
    <w:name w:val="标题 1 Char"/>
    <w:link w:val="2"/>
    <w:qFormat/>
    <w:locked/>
    <w:uiPriority w:val="99"/>
    <w:rPr>
      <w:b/>
      <w:bCs/>
      <w:kern w:val="44"/>
      <w:sz w:val="44"/>
      <w:szCs w:val="44"/>
    </w:rPr>
  </w:style>
  <w:style w:type="character" w:customStyle="1" w:styleId="20">
    <w:name w:val="标题 2 Char"/>
    <w:link w:val="3"/>
    <w:semiHidden/>
    <w:qFormat/>
    <w:locked/>
    <w:uiPriority w:val="99"/>
    <w:rPr>
      <w:rFonts w:ascii="Cambria" w:hAnsi="Cambria" w:eastAsia="宋体" w:cs="Cambria"/>
      <w:b/>
      <w:bCs/>
      <w:sz w:val="32"/>
      <w:szCs w:val="32"/>
    </w:rPr>
  </w:style>
  <w:style w:type="character" w:customStyle="1" w:styleId="21">
    <w:name w:val="发布"/>
    <w:qFormat/>
    <w:uiPriority w:val="99"/>
    <w:rPr>
      <w:rFonts w:ascii="黑体" w:eastAsia="黑体" w:cs="黑体"/>
      <w:spacing w:val="22"/>
      <w:w w:val="100"/>
      <w:position w:val="3"/>
      <w:sz w:val="28"/>
      <w:szCs w:val="28"/>
    </w:rPr>
  </w:style>
  <w:style w:type="paragraph" w:customStyle="1" w:styleId="22">
    <w:name w:val="三级条标题"/>
    <w:basedOn w:val="23"/>
    <w:next w:val="26"/>
    <w:qFormat/>
    <w:uiPriority w:val="0"/>
    <w:pPr>
      <w:tabs>
        <w:tab w:val="left" w:pos="1680"/>
        <w:tab w:val="left" w:pos="2100"/>
      </w:tabs>
      <w:ind w:left="2100"/>
      <w:outlineLvl w:val="4"/>
    </w:pPr>
  </w:style>
  <w:style w:type="paragraph" w:customStyle="1" w:styleId="23">
    <w:name w:val="二级条标题"/>
    <w:basedOn w:val="24"/>
    <w:next w:val="26"/>
    <w:qFormat/>
    <w:uiPriority w:val="99"/>
    <w:pPr>
      <w:tabs>
        <w:tab w:val="left" w:pos="1680"/>
      </w:tabs>
      <w:ind w:left="1680" w:hanging="420"/>
      <w:outlineLvl w:val="3"/>
    </w:pPr>
  </w:style>
  <w:style w:type="paragraph" w:customStyle="1" w:styleId="24">
    <w:name w:val="一级条标题"/>
    <w:basedOn w:val="25"/>
    <w:next w:val="26"/>
    <w:qFormat/>
    <w:uiPriority w:val="99"/>
    <w:pPr>
      <w:spacing w:beforeLines="0" w:afterLines="0"/>
      <w:outlineLvl w:val="2"/>
    </w:pPr>
  </w:style>
  <w:style w:type="paragraph" w:customStyle="1" w:styleId="25">
    <w:name w:val="章标题"/>
    <w:next w:val="26"/>
    <w:qFormat/>
    <w:uiPriority w:val="99"/>
    <w:pPr>
      <w:spacing w:beforeLines="50" w:afterLines="50"/>
      <w:jc w:val="both"/>
      <w:outlineLvl w:val="1"/>
    </w:pPr>
    <w:rPr>
      <w:rFonts w:ascii="黑体" w:hAnsi="Times New Roman" w:eastAsia="黑体" w:cs="黑体"/>
      <w:sz w:val="21"/>
      <w:szCs w:val="21"/>
      <w:lang w:val="en-US" w:eastAsia="zh-CN" w:bidi="ar-SA"/>
    </w:rPr>
  </w:style>
  <w:style w:type="paragraph" w:customStyle="1" w:styleId="26">
    <w:name w:val="段"/>
    <w:link w:val="57"/>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27">
    <w:name w:val="四级条标题"/>
    <w:basedOn w:val="22"/>
    <w:next w:val="26"/>
    <w:qFormat/>
    <w:uiPriority w:val="99"/>
    <w:pPr>
      <w:tabs>
        <w:tab w:val="left" w:pos="2520"/>
        <w:tab w:val="clear" w:pos="2100"/>
      </w:tabs>
      <w:ind w:left="2520"/>
      <w:outlineLvl w:val="5"/>
    </w:pPr>
  </w:style>
  <w:style w:type="paragraph" w:customStyle="1" w:styleId="28">
    <w:name w:val="其他标准称谓"/>
    <w:qFormat/>
    <w:uiPriority w:val="99"/>
    <w:pPr>
      <w:spacing w:line="240" w:lineRule="atLeast"/>
      <w:jc w:val="distribute"/>
    </w:pPr>
    <w:rPr>
      <w:rFonts w:ascii="黑体" w:hAnsi="宋体" w:eastAsia="黑体" w:cs="黑体"/>
      <w:sz w:val="52"/>
      <w:szCs w:val="52"/>
      <w:lang w:val="en-US" w:eastAsia="zh-CN" w:bidi="ar-SA"/>
    </w:rPr>
  </w:style>
  <w:style w:type="paragraph" w:customStyle="1" w:styleId="29">
    <w:name w:val="封面标准文稿类别"/>
    <w:qFormat/>
    <w:uiPriority w:val="99"/>
    <w:pPr>
      <w:spacing w:before="440" w:line="400" w:lineRule="exact"/>
      <w:jc w:val="center"/>
    </w:pPr>
    <w:rPr>
      <w:rFonts w:ascii="宋体" w:hAnsi="Times New Roman" w:eastAsia="宋体" w:cs="宋体"/>
      <w:sz w:val="24"/>
      <w:szCs w:val="24"/>
      <w:lang w:val="en-US" w:eastAsia="zh-CN" w:bidi="ar-SA"/>
    </w:rPr>
  </w:style>
  <w:style w:type="character" w:customStyle="1" w:styleId="30">
    <w:name w:val="批注文字 Char"/>
    <w:link w:val="5"/>
    <w:qFormat/>
    <w:locked/>
    <w:uiPriority w:val="99"/>
    <w:rPr>
      <w:sz w:val="21"/>
      <w:szCs w:val="21"/>
    </w:rPr>
  </w:style>
  <w:style w:type="paragraph" w:customStyle="1" w:styleId="31">
    <w:name w:val="五级条标题"/>
    <w:basedOn w:val="27"/>
    <w:next w:val="26"/>
    <w:uiPriority w:val="99"/>
    <w:pPr>
      <w:tabs>
        <w:tab w:val="left" w:pos="3570"/>
        <w:tab w:val="clear" w:pos="2520"/>
      </w:tabs>
      <w:ind w:left="3570"/>
      <w:outlineLvl w:val="6"/>
    </w:pPr>
  </w:style>
  <w:style w:type="paragraph" w:customStyle="1" w:styleId="32">
    <w:name w:val="封面标准名称"/>
    <w:qFormat/>
    <w:uiPriority w:val="99"/>
    <w:pPr>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33">
    <w:name w:val="封面标准英文名称"/>
    <w:uiPriority w:val="99"/>
    <w:pPr>
      <w:widowControl w:val="0"/>
      <w:spacing w:before="370" w:line="400" w:lineRule="exact"/>
      <w:jc w:val="center"/>
    </w:pPr>
    <w:rPr>
      <w:rFonts w:ascii="Times New Roman" w:hAnsi="Times New Roman" w:eastAsia="宋体" w:cs="Times New Roman"/>
      <w:sz w:val="28"/>
      <w:szCs w:val="28"/>
      <w:lang w:val="en-US" w:eastAsia="zh-CN" w:bidi="ar-SA"/>
    </w:rPr>
  </w:style>
  <w:style w:type="character" w:customStyle="1" w:styleId="34">
    <w:name w:val="正文文本 Char"/>
    <w:link w:val="6"/>
    <w:semiHidden/>
    <w:qFormat/>
    <w:locked/>
    <w:uiPriority w:val="99"/>
    <w:rPr>
      <w:sz w:val="21"/>
      <w:szCs w:val="21"/>
    </w:rPr>
  </w:style>
  <w:style w:type="paragraph" w:customStyle="1" w:styleId="35">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36">
    <w:name w:val="发布部门"/>
    <w:next w:val="1"/>
    <w:qFormat/>
    <w:uiPriority w:val="99"/>
    <w:pPr>
      <w:jc w:val="center"/>
    </w:pPr>
    <w:rPr>
      <w:rFonts w:ascii="宋体" w:hAnsi="Times New Roman" w:eastAsia="宋体" w:cs="宋体"/>
      <w:b/>
      <w:bCs/>
      <w:spacing w:val="20"/>
      <w:w w:val="135"/>
      <w:sz w:val="36"/>
      <w:szCs w:val="36"/>
      <w:lang w:val="en-US" w:eastAsia="zh-CN" w:bidi="ar-SA"/>
    </w:rPr>
  </w:style>
  <w:style w:type="paragraph" w:customStyle="1" w:styleId="37">
    <w:name w:val="封面标准文稿编辑信息"/>
    <w:uiPriority w:val="99"/>
    <w:pPr>
      <w:spacing w:before="180" w:line="180" w:lineRule="exact"/>
      <w:jc w:val="center"/>
    </w:pPr>
    <w:rPr>
      <w:rFonts w:ascii="宋体" w:hAnsi="Times New Roman" w:eastAsia="宋体" w:cs="宋体"/>
      <w:sz w:val="21"/>
      <w:szCs w:val="21"/>
      <w:lang w:val="en-US" w:eastAsia="zh-CN" w:bidi="ar-SA"/>
    </w:rPr>
  </w:style>
  <w:style w:type="paragraph" w:customStyle="1" w:styleId="38">
    <w:name w:val="发布日期"/>
    <w:qFormat/>
    <w:uiPriority w:val="99"/>
    <w:rPr>
      <w:rFonts w:ascii="Times New Roman" w:hAnsi="Times New Roman" w:eastAsia="黑体" w:cs="Times New Roman"/>
      <w:sz w:val="28"/>
      <w:szCs w:val="28"/>
      <w:lang w:val="en-US" w:eastAsia="zh-CN" w:bidi="ar-SA"/>
    </w:rPr>
  </w:style>
  <w:style w:type="paragraph" w:customStyle="1" w:styleId="39">
    <w:name w:val="附录A"/>
    <w:basedOn w:val="1"/>
    <w:qFormat/>
    <w:uiPriority w:val="99"/>
    <w:pPr>
      <w:spacing w:line="360" w:lineRule="auto"/>
      <w:ind w:left="357" w:hanging="357"/>
      <w:jc w:val="center"/>
      <w:outlineLvl w:val="0"/>
    </w:pPr>
    <w:rPr>
      <w:b/>
      <w:bCs/>
    </w:rPr>
  </w:style>
  <w:style w:type="character" w:customStyle="1" w:styleId="40">
    <w:name w:val="页眉 Char"/>
    <w:link w:val="12"/>
    <w:semiHidden/>
    <w:qFormat/>
    <w:locked/>
    <w:uiPriority w:val="99"/>
    <w:rPr>
      <w:sz w:val="18"/>
      <w:szCs w:val="18"/>
    </w:rPr>
  </w:style>
  <w:style w:type="character" w:customStyle="1" w:styleId="41">
    <w:name w:val="正文文本缩进 3 Char"/>
    <w:link w:val="13"/>
    <w:semiHidden/>
    <w:qFormat/>
    <w:locked/>
    <w:uiPriority w:val="99"/>
    <w:rPr>
      <w:sz w:val="16"/>
      <w:szCs w:val="16"/>
    </w:rPr>
  </w:style>
  <w:style w:type="character" w:customStyle="1" w:styleId="42">
    <w:name w:val="正文文本缩进 Char"/>
    <w:link w:val="7"/>
    <w:semiHidden/>
    <w:qFormat/>
    <w:locked/>
    <w:uiPriority w:val="99"/>
    <w:rPr>
      <w:sz w:val="21"/>
      <w:szCs w:val="21"/>
    </w:rPr>
  </w:style>
  <w:style w:type="character" w:customStyle="1" w:styleId="43">
    <w:name w:val="正文文本缩进 2 Char"/>
    <w:link w:val="9"/>
    <w:semiHidden/>
    <w:qFormat/>
    <w:locked/>
    <w:uiPriority w:val="99"/>
    <w:rPr>
      <w:sz w:val="21"/>
      <w:szCs w:val="21"/>
    </w:rPr>
  </w:style>
  <w:style w:type="paragraph" w:customStyle="1" w:styleId="44">
    <w:name w:val="实施日期"/>
    <w:basedOn w:val="38"/>
    <w:qFormat/>
    <w:uiPriority w:val="99"/>
    <w:pPr>
      <w:jc w:val="right"/>
    </w:pPr>
  </w:style>
  <w:style w:type="paragraph" w:customStyle="1" w:styleId="45">
    <w:name w:val="封面一致性程度标识"/>
    <w:qFormat/>
    <w:uiPriority w:val="99"/>
    <w:pPr>
      <w:spacing w:before="440" w:line="400" w:lineRule="exact"/>
      <w:jc w:val="center"/>
    </w:pPr>
    <w:rPr>
      <w:rFonts w:ascii="宋体" w:hAnsi="Times New Roman" w:eastAsia="宋体" w:cs="宋体"/>
      <w:sz w:val="28"/>
      <w:szCs w:val="28"/>
      <w:lang w:val="en-US" w:eastAsia="zh-CN" w:bidi="ar-SA"/>
    </w:rPr>
  </w:style>
  <w:style w:type="paragraph" w:customStyle="1" w:styleId="46">
    <w:name w:val="前言、引言标题"/>
    <w:next w:val="1"/>
    <w:qFormat/>
    <w:uiPriority w:val="99"/>
    <w:pPr>
      <w:shd w:val="clear" w:color="FFFFFF" w:fill="FFFFFF"/>
      <w:tabs>
        <w:tab w:val="left" w:pos="360"/>
      </w:tabs>
      <w:spacing w:before="640" w:after="560"/>
      <w:ind w:left="360" w:hanging="360"/>
      <w:jc w:val="center"/>
      <w:outlineLvl w:val="0"/>
    </w:pPr>
    <w:rPr>
      <w:rFonts w:ascii="黑体" w:hAnsi="Times New Roman" w:eastAsia="黑体" w:cs="黑体"/>
      <w:sz w:val="32"/>
      <w:szCs w:val="32"/>
      <w:lang w:val="en-US" w:eastAsia="zh-CN" w:bidi="ar-SA"/>
    </w:rPr>
  </w:style>
  <w:style w:type="paragraph" w:customStyle="1" w:styleId="47">
    <w:name w:val="标准标志"/>
    <w:next w:val="1"/>
    <w:qFormat/>
    <w:uiPriority w:val="99"/>
    <w:pPr>
      <w:shd w:val="solid" w:color="FFFFFF" w:fill="FFFFFF"/>
      <w:spacing w:line="240" w:lineRule="atLeast"/>
      <w:jc w:val="right"/>
    </w:pPr>
    <w:rPr>
      <w:rFonts w:ascii="Times New Roman" w:hAnsi="Times New Roman" w:eastAsia="宋体" w:cs="Times New Roman"/>
      <w:b/>
      <w:bCs/>
      <w:w w:val="130"/>
      <w:sz w:val="96"/>
      <w:szCs w:val="96"/>
      <w:lang w:val="en-US" w:eastAsia="zh-CN" w:bidi="ar-SA"/>
    </w:rPr>
  </w:style>
  <w:style w:type="paragraph" w:customStyle="1" w:styleId="48">
    <w:name w:val="目次、索引正文"/>
    <w:qFormat/>
    <w:uiPriority w:val="99"/>
    <w:pPr>
      <w:spacing w:line="320" w:lineRule="exact"/>
      <w:jc w:val="both"/>
    </w:pPr>
    <w:rPr>
      <w:rFonts w:ascii="宋体" w:hAnsi="Times New Roman" w:eastAsia="宋体" w:cs="宋体"/>
      <w:sz w:val="21"/>
      <w:szCs w:val="21"/>
      <w:lang w:val="en-US" w:eastAsia="zh-CN" w:bidi="ar-SA"/>
    </w:rPr>
  </w:style>
  <w:style w:type="character" w:customStyle="1" w:styleId="49">
    <w:name w:val="批注框文本 Char"/>
    <w:link w:val="10"/>
    <w:semiHidden/>
    <w:qFormat/>
    <w:locked/>
    <w:uiPriority w:val="99"/>
    <w:rPr>
      <w:sz w:val="2"/>
      <w:szCs w:val="2"/>
    </w:rPr>
  </w:style>
  <w:style w:type="character" w:customStyle="1" w:styleId="50">
    <w:name w:val="日期 Char"/>
    <w:link w:val="8"/>
    <w:semiHidden/>
    <w:qFormat/>
    <w:locked/>
    <w:uiPriority w:val="99"/>
    <w:rPr>
      <w:sz w:val="21"/>
      <w:szCs w:val="21"/>
    </w:rPr>
  </w:style>
  <w:style w:type="paragraph" w:customStyle="1" w:styleId="51">
    <w:name w:val="标准书眉_奇数页"/>
    <w:next w:val="1"/>
    <w:qFormat/>
    <w:uiPriority w:val="99"/>
    <w:pPr>
      <w:tabs>
        <w:tab w:val="center" w:pos="4154"/>
        <w:tab w:val="right" w:pos="8306"/>
      </w:tabs>
      <w:spacing w:after="120"/>
      <w:jc w:val="right"/>
    </w:pPr>
    <w:rPr>
      <w:rFonts w:ascii="Times New Roman" w:hAnsi="Times New Roman" w:eastAsia="宋体" w:cs="Times New Roman"/>
      <w:sz w:val="21"/>
      <w:szCs w:val="21"/>
      <w:lang w:val="en-US" w:eastAsia="zh-CN" w:bidi="ar-SA"/>
    </w:rPr>
  </w:style>
  <w:style w:type="paragraph" w:customStyle="1" w:styleId="52">
    <w:name w:val="目次、标准名称标题"/>
    <w:basedOn w:val="46"/>
    <w:next w:val="26"/>
    <w:qFormat/>
    <w:uiPriority w:val="99"/>
    <w:pPr>
      <w:spacing w:line="460" w:lineRule="exact"/>
      <w:ind w:left="0" w:firstLine="0"/>
    </w:pPr>
  </w:style>
  <w:style w:type="paragraph" w:customStyle="1" w:styleId="53">
    <w:name w:val="文献分类号"/>
    <w:qFormat/>
    <w:uiPriority w:val="99"/>
    <w:pPr>
      <w:widowControl w:val="0"/>
      <w:textAlignment w:val="center"/>
    </w:pPr>
    <w:rPr>
      <w:rFonts w:ascii="Times New Roman" w:hAnsi="Times New Roman" w:eastAsia="黑体" w:cs="Times New Roman"/>
      <w:sz w:val="21"/>
      <w:szCs w:val="21"/>
      <w:lang w:val="en-US" w:eastAsia="zh-CN" w:bidi="ar-SA"/>
    </w:rPr>
  </w:style>
  <w:style w:type="character" w:customStyle="1" w:styleId="54">
    <w:name w:val="批注主题 Char"/>
    <w:link w:val="14"/>
    <w:semiHidden/>
    <w:qFormat/>
    <w:locked/>
    <w:uiPriority w:val="99"/>
    <w:rPr>
      <w:b/>
      <w:bCs/>
      <w:sz w:val="21"/>
      <w:szCs w:val="21"/>
    </w:rPr>
  </w:style>
  <w:style w:type="paragraph" w:customStyle="1" w:styleId="55">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szCs w:val="28"/>
      <w:lang w:val="en-US" w:eastAsia="zh-CN" w:bidi="ar-SA"/>
    </w:rPr>
  </w:style>
  <w:style w:type="character" w:customStyle="1" w:styleId="56">
    <w:name w:val="页脚 Char"/>
    <w:link w:val="11"/>
    <w:semiHidden/>
    <w:locked/>
    <w:uiPriority w:val="99"/>
    <w:rPr>
      <w:sz w:val="18"/>
      <w:szCs w:val="18"/>
    </w:rPr>
  </w:style>
  <w:style w:type="character" w:customStyle="1" w:styleId="57">
    <w:name w:val="段 Char"/>
    <w:link w:val="26"/>
    <w:qFormat/>
    <w:locked/>
    <w:uiPriority w:val="99"/>
    <w:rPr>
      <w:rFonts w:ascii="宋体" w:cs="宋体"/>
      <w:sz w:val="21"/>
      <w:szCs w:val="21"/>
      <w:lang w:val="en-US" w:eastAsia="zh-CN" w:bidi="ar-SA"/>
    </w:rPr>
  </w:style>
  <w:style w:type="paragraph" w:customStyle="1" w:styleId="58">
    <w:name w:val="列项——（一级）"/>
    <w:qFormat/>
    <w:uiPriority w:val="99"/>
    <w:pPr>
      <w:widowControl w:val="0"/>
      <w:numPr>
        <w:ilvl w:val="0"/>
        <w:numId w:val="1"/>
      </w:numPr>
      <w:jc w:val="both"/>
    </w:pPr>
    <w:rPr>
      <w:rFonts w:ascii="宋体" w:hAnsi="Times New Roman" w:eastAsia="宋体" w:cs="宋体"/>
      <w:sz w:val="21"/>
      <w:szCs w:val="21"/>
      <w:lang w:val="en-US" w:eastAsia="zh-CN" w:bidi="ar-SA"/>
    </w:rPr>
  </w:style>
  <w:style w:type="paragraph" w:customStyle="1" w:styleId="59">
    <w:name w:val="列项●（二级）"/>
    <w:qFormat/>
    <w:uiPriority w:val="99"/>
    <w:pPr>
      <w:numPr>
        <w:ilvl w:val="1"/>
        <w:numId w:val="1"/>
      </w:numPr>
      <w:tabs>
        <w:tab w:val="left" w:pos="840"/>
      </w:tabs>
      <w:jc w:val="both"/>
    </w:pPr>
    <w:rPr>
      <w:rFonts w:ascii="宋体" w:hAnsi="Times New Roman" w:eastAsia="宋体" w:cs="宋体"/>
      <w:sz w:val="21"/>
      <w:szCs w:val="21"/>
      <w:lang w:val="en-US" w:eastAsia="zh-CN" w:bidi="ar-SA"/>
    </w:rPr>
  </w:style>
  <w:style w:type="paragraph" w:customStyle="1" w:styleId="60">
    <w:name w:val="列项◆（三级）"/>
    <w:basedOn w:val="1"/>
    <w:qFormat/>
    <w:uiPriority w:val="99"/>
    <w:pPr>
      <w:numPr>
        <w:ilvl w:val="2"/>
        <w:numId w:val="1"/>
      </w:numPr>
    </w:pPr>
    <w:rPr>
      <w:rFonts w:ascii="宋体" w:cs="宋体"/>
    </w:rPr>
  </w:style>
  <w:style w:type="paragraph" w:styleId="6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senoh</Company>
  <Pages>3</Pages>
  <Words>358</Words>
  <Characters>2042</Characters>
  <Lines>17</Lines>
  <Paragraphs>4</Paragraphs>
  <TotalTime>0</TotalTime>
  <ScaleCrop>false</ScaleCrop>
  <LinksUpToDate>false</LinksUpToDate>
  <CharactersWithSpaces>2396</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2019-12-16T14:24:00Z</dcterms:created>
  <dc:creator>千樱刘振健</dc:creator>
  <cp:lastModifiedBy>WPS_1639622393</cp:lastModifiedBy>
  <cp:lastPrinted>2009-11-23T02:17:00Z</cp:lastPrinted>
  <dcterms:modified xsi:type="dcterms:W3CDTF">2022-01-14T01:41:02Z</dcterms:modified>
  <dc:title>小型蒸汽灭菌器标准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