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C47B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BC9BFDE">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FDD304F">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bookmarkStart w:id="137"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1</w:t>
            </w:r>
            <w:r>
              <w:rPr>
                <w:rFonts w:hint="eastAsia" w:ascii="黑体" w:hAnsi="黑体" w:eastAsia="黑体"/>
                <w:sz w:val="21"/>
                <w:szCs w:val="21"/>
                <w:lang w:val="en-US" w:eastAsia="zh-CN"/>
              </w:rPr>
              <w:t>1.040.01</w:t>
            </w:r>
            <w:r>
              <w:rPr>
                <w:rFonts w:ascii="黑体" w:hAnsi="黑体" w:eastAsia="黑体"/>
                <w:sz w:val="21"/>
                <w:szCs w:val="21"/>
              </w:rPr>
              <w:fldChar w:fldCharType="end"/>
            </w:r>
            <w:bookmarkEnd w:id="0"/>
            <w:bookmarkEnd w:id="137"/>
          </w:p>
        </w:tc>
      </w:tr>
      <w:tr w14:paraId="4DFFD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5EDAA7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B2E9EC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C30</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6AF09D2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6CF27B8C">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YY</w:t>
            </w:r>
            <w:r>
              <w:fldChar w:fldCharType="end"/>
            </w:r>
            <w:bookmarkEnd w:id="3"/>
          </w:p>
        </w:tc>
      </w:tr>
    </w:tbl>
    <w:p w14:paraId="2A370E82">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医药</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14:paraId="34FB4772">
      <w:pPr>
        <w:pStyle w:val="195"/>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YY/T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42160A1">
      <w:pPr>
        <w:pStyle w:val="196"/>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14:paraId="75902A19">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641BC43">
      <w:pPr>
        <w:pStyle w:val="50"/>
        <w:framePr w:w="9639" w:h="6976" w:hRule="exact" w:hSpace="0" w:vSpace="0" w:wrap="around" w:hAnchor="page" w:y="6408"/>
        <w:jc w:val="center"/>
        <w:rPr>
          <w:rFonts w:ascii="黑体" w:hAnsi="黑体" w:eastAsia="黑体"/>
          <w:b w:val="0"/>
          <w:bCs w:val="0"/>
          <w:w w:val="100"/>
          <w:lang w:val="fr-FR"/>
        </w:rPr>
      </w:pPr>
    </w:p>
    <w:p w14:paraId="31408BC1">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有源医疗器械</w:t>
      </w:r>
      <w:r>
        <w:t>失效模式、影响及危害</w:t>
      </w:r>
      <w:r>
        <w:rPr>
          <w:rFonts w:hint="eastAsia"/>
          <w:lang w:eastAsia="zh-CN"/>
        </w:rPr>
        <w:t>性</w:t>
      </w:r>
      <w:r>
        <w:t>分析（FMECA）方法</w:t>
      </w:r>
      <w:r>
        <w:fldChar w:fldCharType="end"/>
      </w:r>
      <w:bookmarkEnd w:id="9"/>
    </w:p>
    <w:p w14:paraId="7F5E676F">
      <w:pPr>
        <w:framePr w:w="9639" w:h="6974" w:hRule="exact" w:wrap="around" w:vAnchor="page" w:hAnchor="page" w:x="1419" w:y="6408" w:anchorLock="1"/>
        <w:ind w:left="-1418"/>
      </w:pPr>
    </w:p>
    <w:p w14:paraId="78CE8015">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Guidelines for failure mode effects and criticality analysis</w:t>
      </w:r>
      <w:r>
        <w:rPr>
          <w:rFonts w:hint="eastAsia" w:eastAsia="黑体"/>
          <w:szCs w:val="28"/>
          <w:lang w:val="en-US" w:eastAsia="zh-CN"/>
        </w:rPr>
        <w:t xml:space="preserve"> (FMECA)</w:t>
      </w:r>
      <w:r>
        <w:rPr>
          <w:rFonts w:eastAsia="黑体"/>
          <w:szCs w:val="28"/>
        </w:rPr>
        <w:t xml:space="preserve"> of active medical device</w:t>
      </w:r>
      <w:r>
        <w:rPr>
          <w:rFonts w:eastAsia="黑体"/>
          <w:szCs w:val="28"/>
        </w:rPr>
        <w:fldChar w:fldCharType="end"/>
      </w:r>
      <w:bookmarkEnd w:id="10"/>
    </w:p>
    <w:p w14:paraId="5C3F40CD">
      <w:pPr>
        <w:framePr w:w="9639" w:h="6974" w:hRule="exact" w:wrap="around" w:vAnchor="page" w:hAnchor="page" w:x="1419" w:y="6408" w:anchorLock="1"/>
        <w:spacing w:line="760" w:lineRule="exact"/>
        <w:ind w:left="-1418"/>
      </w:pPr>
    </w:p>
    <w:p w14:paraId="34F8D0B7">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14:paraId="6AE3EB4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4220837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14:paraId="5F56A56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10C6534E">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598D2599">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07E52762">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国家药品监督管理局</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14:paraId="59AA9D1C">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E3E80C5">
      <w:pPr>
        <w:pStyle w:val="91"/>
        <w:spacing w:after="360"/>
        <w:rPr>
          <w:rFonts w:hint="eastAsia"/>
        </w:rPr>
      </w:pPr>
      <w:bookmarkStart w:id="22" w:name="BookMark1"/>
      <w:bookmarkStart w:id="23" w:name="_Toc177545578"/>
      <w:bookmarkStart w:id="24" w:name="_Toc177558315"/>
      <w:r>
        <w:rPr>
          <w:rFonts w:hint="eastAsia"/>
          <w:spacing w:val="320"/>
        </w:rPr>
        <w:t>目</w:t>
      </w:r>
      <w:r>
        <w:rPr>
          <w:rFonts w:hint="eastAsia"/>
        </w:rPr>
        <w:t>次</w:t>
      </w:r>
    </w:p>
    <w:p w14:paraId="2908C486">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"_Toc177558370" </w:instrText>
      </w:r>
      <w:r>
        <w:fldChar w:fldCharType="separate"/>
      </w:r>
      <w:r>
        <w:rPr>
          <w:rStyle w:val="32"/>
        </w:rPr>
        <w:t>前言</w:t>
      </w:r>
      <w:r>
        <w:tab/>
      </w:r>
      <w:r>
        <w:fldChar w:fldCharType="begin"/>
      </w:r>
      <w:r>
        <w:instrText xml:space="preserve"> PAGEREF _Toc177558370 \h </w:instrText>
      </w:r>
      <w:r>
        <w:fldChar w:fldCharType="separate"/>
      </w:r>
      <w:r>
        <w:t>II</w:t>
      </w:r>
      <w:r>
        <w:fldChar w:fldCharType="end"/>
      </w:r>
      <w:r>
        <w:fldChar w:fldCharType="end"/>
      </w:r>
    </w:p>
    <w:p w14:paraId="1ABFDA05">
      <w:pPr>
        <w:pStyle w:val="19"/>
        <w:tabs>
          <w:tab w:val="right" w:leader="dot" w:pos="9344"/>
        </w:tabs>
        <w:rPr>
          <w:rFonts w:asciiTheme="minorHAnsi" w:hAnsiTheme="minorHAnsi" w:eastAsiaTheme="minorEastAsia" w:cstheme="minorBidi"/>
          <w:szCs w:val="22"/>
        </w:rPr>
      </w:pPr>
      <w:r>
        <w:fldChar w:fldCharType="begin"/>
      </w:r>
      <w:r>
        <w:instrText xml:space="preserve"> HYPERLINK \l "_Toc177558371" </w:instrText>
      </w:r>
      <w:r>
        <w:fldChar w:fldCharType="separate"/>
      </w:r>
      <w:r>
        <w:rPr>
          <w:rStyle w:val="32"/>
        </w:rPr>
        <w:t>1  范围</w:t>
      </w:r>
      <w:r>
        <w:tab/>
      </w:r>
      <w:r>
        <w:fldChar w:fldCharType="begin"/>
      </w:r>
      <w:r>
        <w:instrText xml:space="preserve"> PAGEREF _Toc177558371 \h </w:instrText>
      </w:r>
      <w:r>
        <w:fldChar w:fldCharType="separate"/>
      </w:r>
      <w:r>
        <w:t>1</w:t>
      </w:r>
      <w:r>
        <w:fldChar w:fldCharType="end"/>
      </w:r>
      <w:r>
        <w:fldChar w:fldCharType="end"/>
      </w:r>
    </w:p>
    <w:p w14:paraId="125146BF">
      <w:pPr>
        <w:pStyle w:val="19"/>
        <w:tabs>
          <w:tab w:val="right" w:leader="dot" w:pos="9344"/>
        </w:tabs>
        <w:rPr>
          <w:rFonts w:asciiTheme="minorHAnsi" w:hAnsiTheme="minorHAnsi" w:eastAsiaTheme="minorEastAsia" w:cstheme="minorBidi"/>
          <w:szCs w:val="22"/>
        </w:rPr>
      </w:pPr>
      <w:r>
        <w:fldChar w:fldCharType="begin"/>
      </w:r>
      <w:r>
        <w:instrText xml:space="preserve"> HYPERLINK \l "_Toc177558372" </w:instrText>
      </w:r>
      <w:r>
        <w:fldChar w:fldCharType="separate"/>
      </w:r>
      <w:r>
        <w:rPr>
          <w:rStyle w:val="32"/>
        </w:rPr>
        <w:t>2  规范性引用文件</w:t>
      </w:r>
      <w:r>
        <w:tab/>
      </w:r>
      <w:r>
        <w:fldChar w:fldCharType="begin"/>
      </w:r>
      <w:r>
        <w:instrText xml:space="preserve"> PAGEREF _Toc177558372 \h </w:instrText>
      </w:r>
      <w:r>
        <w:fldChar w:fldCharType="separate"/>
      </w:r>
      <w:r>
        <w:t>1</w:t>
      </w:r>
      <w:r>
        <w:fldChar w:fldCharType="end"/>
      </w:r>
      <w:r>
        <w:fldChar w:fldCharType="end"/>
      </w:r>
    </w:p>
    <w:p w14:paraId="5EBCABE1">
      <w:pPr>
        <w:pStyle w:val="19"/>
        <w:tabs>
          <w:tab w:val="right" w:leader="dot" w:pos="9344"/>
        </w:tabs>
        <w:rPr>
          <w:rFonts w:asciiTheme="minorHAnsi" w:hAnsiTheme="minorHAnsi" w:eastAsiaTheme="minorEastAsia" w:cstheme="minorBidi"/>
          <w:szCs w:val="22"/>
        </w:rPr>
      </w:pPr>
      <w:r>
        <w:fldChar w:fldCharType="begin"/>
      </w:r>
      <w:r>
        <w:instrText xml:space="preserve"> HYPERLINK \l "_Toc177558373" </w:instrText>
      </w:r>
      <w:r>
        <w:fldChar w:fldCharType="separate"/>
      </w:r>
      <w:r>
        <w:rPr>
          <w:rStyle w:val="32"/>
        </w:rPr>
        <w:t>3  术语和定义</w:t>
      </w:r>
      <w:r>
        <w:tab/>
      </w:r>
      <w:r>
        <w:fldChar w:fldCharType="begin"/>
      </w:r>
      <w:r>
        <w:instrText xml:space="preserve"> PAGEREF _Toc177558373 \h </w:instrText>
      </w:r>
      <w:r>
        <w:fldChar w:fldCharType="separate"/>
      </w:r>
      <w:r>
        <w:t>1</w:t>
      </w:r>
      <w:r>
        <w:fldChar w:fldCharType="end"/>
      </w:r>
      <w:r>
        <w:fldChar w:fldCharType="end"/>
      </w:r>
    </w:p>
    <w:p w14:paraId="1B120921">
      <w:pPr>
        <w:pStyle w:val="19"/>
        <w:tabs>
          <w:tab w:val="right" w:leader="dot" w:pos="9344"/>
        </w:tabs>
        <w:rPr>
          <w:rFonts w:asciiTheme="minorHAnsi" w:hAnsiTheme="minorHAnsi" w:eastAsiaTheme="minorEastAsia" w:cstheme="minorBidi"/>
          <w:szCs w:val="22"/>
        </w:rPr>
      </w:pPr>
      <w:r>
        <w:fldChar w:fldCharType="begin"/>
      </w:r>
      <w:r>
        <w:instrText xml:space="preserve"> HYPERLINK \l "_Toc177558374" </w:instrText>
      </w:r>
      <w:r>
        <w:fldChar w:fldCharType="separate"/>
      </w:r>
      <w:r>
        <w:rPr>
          <w:rStyle w:val="32"/>
        </w:rPr>
        <w:t>4  概述</w:t>
      </w:r>
      <w:r>
        <w:tab/>
      </w:r>
      <w:r>
        <w:fldChar w:fldCharType="begin"/>
      </w:r>
      <w:r>
        <w:instrText xml:space="preserve"> PAGEREF _Toc177558374 \h </w:instrText>
      </w:r>
      <w:r>
        <w:fldChar w:fldCharType="separate"/>
      </w:r>
      <w:r>
        <w:t>1</w:t>
      </w:r>
      <w:r>
        <w:fldChar w:fldCharType="end"/>
      </w:r>
      <w:r>
        <w:fldChar w:fldCharType="end"/>
      </w:r>
    </w:p>
    <w:p w14:paraId="06DC1353">
      <w:pPr>
        <w:pStyle w:val="24"/>
        <w:rPr>
          <w:rFonts w:asciiTheme="minorHAnsi" w:hAnsiTheme="minorHAnsi" w:eastAsiaTheme="minorEastAsia" w:cstheme="minorBidi"/>
          <w:szCs w:val="22"/>
        </w:rPr>
      </w:pPr>
      <w:r>
        <w:fldChar w:fldCharType="begin"/>
      </w:r>
      <w:r>
        <w:instrText xml:space="preserve"> HYPERLINK \l "_Toc177558375" </w:instrText>
      </w:r>
      <w:r>
        <w:fldChar w:fldCharType="separate"/>
      </w:r>
      <w:r>
        <w:rPr>
          <w:rStyle w:val="32"/>
          <w14:scene3d>
            <w14:lightRig w14:rig="threePt" w14:dir="t">
              <w14:rot w14:lat="0" w14:lon="0" w14:rev="0"/>
            </w14:lightRig>
          </w14:scene3d>
        </w:rPr>
        <w:t xml:space="preserve">4.1 </w:t>
      </w:r>
      <w:r>
        <w:rPr>
          <w:rStyle w:val="32"/>
        </w:rPr>
        <w:t xml:space="preserve"> 目的</w:t>
      </w:r>
      <w:r>
        <w:tab/>
      </w:r>
      <w:r>
        <w:fldChar w:fldCharType="begin"/>
      </w:r>
      <w:r>
        <w:instrText xml:space="preserve"> PAGEREF _Toc177558375 \h </w:instrText>
      </w:r>
      <w:r>
        <w:fldChar w:fldCharType="separate"/>
      </w:r>
      <w:r>
        <w:t>2</w:t>
      </w:r>
      <w:r>
        <w:fldChar w:fldCharType="end"/>
      </w:r>
      <w:r>
        <w:fldChar w:fldCharType="end"/>
      </w:r>
    </w:p>
    <w:p w14:paraId="5BC5DC07">
      <w:pPr>
        <w:pStyle w:val="24"/>
        <w:rPr>
          <w:rFonts w:asciiTheme="minorHAnsi" w:hAnsiTheme="minorHAnsi" w:eastAsiaTheme="minorEastAsia" w:cstheme="minorBidi"/>
          <w:szCs w:val="22"/>
        </w:rPr>
      </w:pPr>
      <w:r>
        <w:fldChar w:fldCharType="begin"/>
      </w:r>
      <w:r>
        <w:instrText xml:space="preserve"> HYPERLINK \l "_Toc177558376" </w:instrText>
      </w:r>
      <w:r>
        <w:fldChar w:fldCharType="separate"/>
      </w:r>
      <w:r>
        <w:rPr>
          <w:rStyle w:val="32"/>
          <w14:scene3d>
            <w14:lightRig w14:rig="threePt" w14:dir="t">
              <w14:rot w14:lat="0" w14:lon="0" w14:rev="0"/>
            </w14:lightRig>
          </w14:scene3d>
        </w:rPr>
        <w:t xml:space="preserve">4.2 </w:t>
      </w:r>
      <w:r>
        <w:rPr>
          <w:rStyle w:val="32"/>
        </w:rPr>
        <w:t xml:space="preserve"> 失效模式、影响及</w:t>
      </w:r>
      <w:r>
        <w:rPr>
          <w:rStyle w:val="32"/>
          <w:rFonts w:hint="eastAsia"/>
          <w:lang w:eastAsia="zh-CN"/>
        </w:rPr>
        <w:t>危害性</w:t>
      </w:r>
      <w:r>
        <w:rPr>
          <w:rStyle w:val="32"/>
        </w:rPr>
        <w:t>分析</w:t>
      </w:r>
      <w:r>
        <w:tab/>
      </w:r>
      <w:r>
        <w:fldChar w:fldCharType="begin"/>
      </w:r>
      <w:r>
        <w:instrText xml:space="preserve"> PAGEREF _Toc177558376 \h </w:instrText>
      </w:r>
      <w:r>
        <w:fldChar w:fldCharType="separate"/>
      </w:r>
      <w:r>
        <w:t>2</w:t>
      </w:r>
      <w:r>
        <w:fldChar w:fldCharType="end"/>
      </w:r>
      <w:r>
        <w:fldChar w:fldCharType="end"/>
      </w:r>
    </w:p>
    <w:p w14:paraId="3D4061C5">
      <w:pPr>
        <w:pStyle w:val="24"/>
        <w:rPr>
          <w:rFonts w:asciiTheme="minorHAnsi" w:hAnsiTheme="minorHAnsi" w:eastAsiaTheme="minorEastAsia" w:cstheme="minorBidi"/>
          <w:szCs w:val="22"/>
        </w:rPr>
      </w:pPr>
      <w:r>
        <w:fldChar w:fldCharType="begin"/>
      </w:r>
      <w:r>
        <w:instrText xml:space="preserve"> HYPERLINK \l "_Toc177558377" </w:instrText>
      </w:r>
      <w:r>
        <w:fldChar w:fldCharType="separate"/>
      </w:r>
      <w:r>
        <w:rPr>
          <w:rStyle w:val="32"/>
          <w14:scene3d>
            <w14:lightRig w14:rig="threePt" w14:dir="t">
              <w14:rot w14:lat="0" w14:lon="0" w14:rev="0"/>
            </w14:lightRig>
          </w14:scene3d>
        </w:rPr>
        <w:t xml:space="preserve">4.3 </w:t>
      </w:r>
      <w:r>
        <w:rPr>
          <w:rStyle w:val="32"/>
        </w:rPr>
        <w:t xml:space="preserve"> FMECA人员及计划性</w:t>
      </w:r>
      <w:r>
        <w:tab/>
      </w:r>
      <w:r>
        <w:fldChar w:fldCharType="begin"/>
      </w:r>
      <w:r>
        <w:instrText xml:space="preserve"> PAGEREF _Toc177558377 \h </w:instrText>
      </w:r>
      <w:r>
        <w:fldChar w:fldCharType="separate"/>
      </w:r>
      <w:r>
        <w:t>2</w:t>
      </w:r>
      <w:r>
        <w:fldChar w:fldCharType="end"/>
      </w:r>
      <w:r>
        <w:fldChar w:fldCharType="end"/>
      </w:r>
    </w:p>
    <w:p w14:paraId="694830C6">
      <w:pPr>
        <w:pStyle w:val="19"/>
        <w:tabs>
          <w:tab w:val="right" w:leader="dot" w:pos="9344"/>
        </w:tabs>
        <w:rPr>
          <w:rFonts w:asciiTheme="minorHAnsi" w:hAnsiTheme="minorHAnsi" w:eastAsiaTheme="minorEastAsia" w:cstheme="minorBidi"/>
          <w:szCs w:val="22"/>
        </w:rPr>
      </w:pPr>
      <w:r>
        <w:fldChar w:fldCharType="begin"/>
      </w:r>
      <w:r>
        <w:instrText xml:space="preserve"> HYPERLINK \l "_Toc177558378" </w:instrText>
      </w:r>
      <w:r>
        <w:fldChar w:fldCharType="separate"/>
      </w:r>
      <w:r>
        <w:rPr>
          <w:rStyle w:val="32"/>
        </w:rPr>
        <w:t>5  DFMECA</w:t>
      </w:r>
      <w:r>
        <w:tab/>
      </w:r>
      <w:r>
        <w:fldChar w:fldCharType="begin"/>
      </w:r>
      <w:r>
        <w:instrText xml:space="preserve"> PAGEREF _Toc177558378 \h </w:instrText>
      </w:r>
      <w:r>
        <w:fldChar w:fldCharType="separate"/>
      </w:r>
      <w:r>
        <w:t>2</w:t>
      </w:r>
      <w:r>
        <w:fldChar w:fldCharType="end"/>
      </w:r>
      <w:r>
        <w:fldChar w:fldCharType="end"/>
      </w:r>
    </w:p>
    <w:p w14:paraId="6EA6CF54">
      <w:pPr>
        <w:pStyle w:val="24"/>
        <w:rPr>
          <w:rFonts w:asciiTheme="minorHAnsi" w:hAnsiTheme="minorHAnsi" w:eastAsiaTheme="minorEastAsia" w:cstheme="minorBidi"/>
          <w:szCs w:val="22"/>
        </w:rPr>
      </w:pPr>
      <w:r>
        <w:fldChar w:fldCharType="begin"/>
      </w:r>
      <w:r>
        <w:instrText xml:space="preserve"> HYPERLINK \l "_Toc177558379" </w:instrText>
      </w:r>
      <w:r>
        <w:fldChar w:fldCharType="separate"/>
      </w:r>
      <w:r>
        <w:rPr>
          <w:rStyle w:val="32"/>
          <w14:scene3d>
            <w14:lightRig w14:rig="threePt" w14:dir="t">
              <w14:rot w14:lat="0" w14:lon="0" w14:rev="0"/>
            </w14:lightRig>
          </w14:scene3d>
        </w:rPr>
        <w:t xml:space="preserve">5.1 </w:t>
      </w:r>
      <w:r>
        <w:rPr>
          <w:rStyle w:val="32"/>
        </w:rPr>
        <w:t xml:space="preserve"> 待分析对象定义</w:t>
      </w:r>
      <w:r>
        <w:tab/>
      </w:r>
      <w:r>
        <w:fldChar w:fldCharType="begin"/>
      </w:r>
      <w:r>
        <w:instrText xml:space="preserve"> PAGEREF _Toc177558379 \h </w:instrText>
      </w:r>
      <w:r>
        <w:fldChar w:fldCharType="separate"/>
      </w:r>
      <w:r>
        <w:t>2</w:t>
      </w:r>
      <w:r>
        <w:fldChar w:fldCharType="end"/>
      </w:r>
      <w:r>
        <w:fldChar w:fldCharType="end"/>
      </w:r>
    </w:p>
    <w:p w14:paraId="4748B188">
      <w:pPr>
        <w:pStyle w:val="24"/>
        <w:rPr>
          <w:rFonts w:asciiTheme="minorHAnsi" w:hAnsiTheme="minorHAnsi" w:eastAsiaTheme="minorEastAsia" w:cstheme="minorBidi"/>
          <w:szCs w:val="22"/>
        </w:rPr>
      </w:pPr>
      <w:r>
        <w:fldChar w:fldCharType="begin"/>
      </w:r>
      <w:r>
        <w:instrText xml:space="preserve"> HYPERLINK \l "_Toc177558380" </w:instrText>
      </w:r>
      <w:r>
        <w:fldChar w:fldCharType="separate"/>
      </w:r>
      <w:r>
        <w:rPr>
          <w:rStyle w:val="32"/>
          <w14:scene3d>
            <w14:lightRig w14:rig="threePt" w14:dir="t">
              <w14:rot w14:lat="0" w14:lon="0" w14:rev="0"/>
            </w14:lightRig>
          </w14:scene3d>
        </w:rPr>
        <w:t xml:space="preserve">5.2 </w:t>
      </w:r>
      <w:r>
        <w:rPr>
          <w:rStyle w:val="32"/>
        </w:rPr>
        <w:t xml:space="preserve"> DFMECA过程</w:t>
      </w:r>
      <w:r>
        <w:tab/>
      </w:r>
      <w:r>
        <w:fldChar w:fldCharType="begin"/>
      </w:r>
      <w:r>
        <w:instrText xml:space="preserve"> PAGEREF _Toc177558380 \h </w:instrText>
      </w:r>
      <w:r>
        <w:fldChar w:fldCharType="separate"/>
      </w:r>
      <w:r>
        <w:t>3</w:t>
      </w:r>
      <w:r>
        <w:fldChar w:fldCharType="end"/>
      </w:r>
      <w:r>
        <w:fldChar w:fldCharType="end"/>
      </w:r>
    </w:p>
    <w:p w14:paraId="6F22875C">
      <w:pPr>
        <w:pStyle w:val="24"/>
        <w:rPr>
          <w:rFonts w:asciiTheme="minorHAnsi" w:hAnsiTheme="minorHAnsi" w:eastAsiaTheme="minorEastAsia" w:cstheme="minorBidi"/>
          <w:szCs w:val="22"/>
        </w:rPr>
      </w:pPr>
      <w:r>
        <w:fldChar w:fldCharType="begin"/>
      </w:r>
      <w:r>
        <w:instrText xml:space="preserve"> HYPERLINK \l "_Toc177558381" </w:instrText>
      </w:r>
      <w:r>
        <w:fldChar w:fldCharType="separate"/>
      </w:r>
      <w:r>
        <w:rPr>
          <w:rStyle w:val="32"/>
          <w14:scene3d>
            <w14:lightRig w14:rig="threePt" w14:dir="t">
              <w14:rot w14:lat="0" w14:lon="0" w14:rev="0"/>
            </w14:lightRig>
          </w14:scene3d>
        </w:rPr>
        <w:t xml:space="preserve">5.3 </w:t>
      </w:r>
      <w:r>
        <w:rPr>
          <w:rStyle w:val="32"/>
        </w:rPr>
        <w:t xml:space="preserve"> DFMECA后续工作</w:t>
      </w:r>
      <w:r>
        <w:tab/>
      </w:r>
      <w:r>
        <w:fldChar w:fldCharType="begin"/>
      </w:r>
      <w:r>
        <w:instrText xml:space="preserve"> PAGEREF _Toc177558381 \h </w:instrText>
      </w:r>
      <w:r>
        <w:fldChar w:fldCharType="separate"/>
      </w:r>
      <w:r>
        <w:t>4</w:t>
      </w:r>
      <w:r>
        <w:fldChar w:fldCharType="end"/>
      </w:r>
      <w:r>
        <w:fldChar w:fldCharType="end"/>
      </w:r>
    </w:p>
    <w:p w14:paraId="2EA3A495">
      <w:pPr>
        <w:pStyle w:val="19"/>
        <w:tabs>
          <w:tab w:val="right" w:leader="dot" w:pos="9344"/>
        </w:tabs>
        <w:rPr>
          <w:rFonts w:asciiTheme="minorHAnsi" w:hAnsiTheme="minorHAnsi" w:eastAsiaTheme="minorEastAsia" w:cstheme="minorBidi"/>
          <w:szCs w:val="22"/>
        </w:rPr>
      </w:pPr>
      <w:r>
        <w:fldChar w:fldCharType="begin"/>
      </w:r>
      <w:r>
        <w:instrText xml:space="preserve"> HYPERLINK \l "_Toc177558382" </w:instrText>
      </w:r>
      <w:r>
        <w:fldChar w:fldCharType="separate"/>
      </w:r>
      <w:r>
        <w:rPr>
          <w:rStyle w:val="32"/>
        </w:rPr>
        <w:t>6  PFMECA</w:t>
      </w:r>
      <w:r>
        <w:tab/>
      </w:r>
      <w:r>
        <w:fldChar w:fldCharType="begin"/>
      </w:r>
      <w:r>
        <w:instrText xml:space="preserve"> PAGEREF _Toc177558382 \h </w:instrText>
      </w:r>
      <w:r>
        <w:fldChar w:fldCharType="separate"/>
      </w:r>
      <w:r>
        <w:t>5</w:t>
      </w:r>
      <w:r>
        <w:fldChar w:fldCharType="end"/>
      </w:r>
      <w:r>
        <w:fldChar w:fldCharType="end"/>
      </w:r>
    </w:p>
    <w:p w14:paraId="4B130B6D">
      <w:pPr>
        <w:pStyle w:val="24"/>
        <w:rPr>
          <w:rFonts w:asciiTheme="minorHAnsi" w:hAnsiTheme="minorHAnsi" w:eastAsiaTheme="minorEastAsia" w:cstheme="minorBidi"/>
          <w:szCs w:val="22"/>
        </w:rPr>
      </w:pPr>
      <w:r>
        <w:fldChar w:fldCharType="begin"/>
      </w:r>
      <w:r>
        <w:instrText xml:space="preserve"> HYPERLINK \l "_Toc177558383" </w:instrText>
      </w:r>
      <w:r>
        <w:fldChar w:fldCharType="separate"/>
      </w:r>
      <w:r>
        <w:rPr>
          <w:rStyle w:val="32"/>
          <w14:scene3d>
            <w14:lightRig w14:rig="threePt" w14:dir="t">
              <w14:rot w14:lat="0" w14:lon="0" w14:rev="0"/>
            </w14:lightRig>
          </w14:scene3d>
        </w:rPr>
        <w:t xml:space="preserve">6.1 </w:t>
      </w:r>
      <w:r>
        <w:rPr>
          <w:rStyle w:val="32"/>
        </w:rPr>
        <w:t xml:space="preserve"> 待分析对象定义</w:t>
      </w:r>
      <w:r>
        <w:tab/>
      </w:r>
      <w:r>
        <w:fldChar w:fldCharType="begin"/>
      </w:r>
      <w:r>
        <w:instrText xml:space="preserve"> PAGEREF _Toc177558383 \h </w:instrText>
      </w:r>
      <w:r>
        <w:fldChar w:fldCharType="separate"/>
      </w:r>
      <w:r>
        <w:t>5</w:t>
      </w:r>
      <w:r>
        <w:fldChar w:fldCharType="end"/>
      </w:r>
      <w:r>
        <w:fldChar w:fldCharType="end"/>
      </w:r>
    </w:p>
    <w:p w14:paraId="6A73D5D0">
      <w:pPr>
        <w:pStyle w:val="24"/>
        <w:rPr>
          <w:rFonts w:asciiTheme="minorHAnsi" w:hAnsiTheme="minorHAnsi" w:eastAsiaTheme="minorEastAsia" w:cstheme="minorBidi"/>
          <w:szCs w:val="22"/>
        </w:rPr>
      </w:pPr>
      <w:r>
        <w:fldChar w:fldCharType="begin"/>
      </w:r>
      <w:r>
        <w:instrText xml:space="preserve"> HYPERLINK \l "_Toc177558384" </w:instrText>
      </w:r>
      <w:r>
        <w:fldChar w:fldCharType="separate"/>
      </w:r>
      <w:r>
        <w:rPr>
          <w:rStyle w:val="32"/>
          <w14:scene3d>
            <w14:lightRig w14:rig="threePt" w14:dir="t">
              <w14:rot w14:lat="0" w14:lon="0" w14:rev="0"/>
            </w14:lightRig>
          </w14:scene3d>
        </w:rPr>
        <w:t xml:space="preserve">6.2 </w:t>
      </w:r>
      <w:r>
        <w:rPr>
          <w:rStyle w:val="32"/>
        </w:rPr>
        <w:t xml:space="preserve"> PFMECA过程</w:t>
      </w:r>
      <w:r>
        <w:tab/>
      </w:r>
      <w:r>
        <w:fldChar w:fldCharType="begin"/>
      </w:r>
      <w:r>
        <w:instrText xml:space="preserve"> PAGEREF _Toc177558384 \h </w:instrText>
      </w:r>
      <w:r>
        <w:fldChar w:fldCharType="separate"/>
      </w:r>
      <w:r>
        <w:t>5</w:t>
      </w:r>
      <w:r>
        <w:fldChar w:fldCharType="end"/>
      </w:r>
      <w:r>
        <w:fldChar w:fldCharType="end"/>
      </w:r>
    </w:p>
    <w:p w14:paraId="2C11B8A0">
      <w:pPr>
        <w:pStyle w:val="24"/>
        <w:rPr>
          <w:rFonts w:asciiTheme="minorHAnsi" w:hAnsiTheme="minorHAnsi" w:eastAsiaTheme="minorEastAsia" w:cstheme="minorBidi"/>
          <w:szCs w:val="22"/>
        </w:rPr>
      </w:pPr>
      <w:r>
        <w:fldChar w:fldCharType="begin"/>
      </w:r>
      <w:r>
        <w:instrText xml:space="preserve"> HYPERLINK \l "_Toc177558385" </w:instrText>
      </w:r>
      <w:r>
        <w:fldChar w:fldCharType="separate"/>
      </w:r>
      <w:r>
        <w:rPr>
          <w:rStyle w:val="32"/>
          <w14:scene3d>
            <w14:lightRig w14:rig="threePt" w14:dir="t">
              <w14:rot w14:lat="0" w14:lon="0" w14:rev="0"/>
            </w14:lightRig>
          </w14:scene3d>
        </w:rPr>
        <w:t xml:space="preserve">6.3 </w:t>
      </w:r>
      <w:r>
        <w:rPr>
          <w:rStyle w:val="32"/>
        </w:rPr>
        <w:t xml:space="preserve"> PFMECA后续工作</w:t>
      </w:r>
      <w:r>
        <w:tab/>
      </w:r>
      <w:r>
        <w:fldChar w:fldCharType="begin"/>
      </w:r>
      <w:r>
        <w:instrText xml:space="preserve"> PAGEREF _Toc177558385 \h </w:instrText>
      </w:r>
      <w:r>
        <w:fldChar w:fldCharType="separate"/>
      </w:r>
      <w:r>
        <w:t>6</w:t>
      </w:r>
      <w:r>
        <w:fldChar w:fldCharType="end"/>
      </w:r>
      <w:r>
        <w:fldChar w:fldCharType="end"/>
      </w:r>
    </w:p>
    <w:p w14:paraId="1F58E4D2">
      <w:pPr>
        <w:pStyle w:val="19"/>
        <w:tabs>
          <w:tab w:val="right" w:leader="dot" w:pos="9344"/>
        </w:tabs>
        <w:rPr>
          <w:rFonts w:asciiTheme="minorHAnsi" w:hAnsiTheme="minorHAnsi" w:eastAsiaTheme="minorEastAsia" w:cstheme="minorBidi"/>
          <w:szCs w:val="22"/>
        </w:rPr>
      </w:pPr>
      <w:r>
        <w:fldChar w:fldCharType="begin"/>
      </w:r>
      <w:r>
        <w:instrText xml:space="preserve"> HYPERLINK \l "_Toc177558386" </w:instrText>
      </w:r>
      <w:r>
        <w:fldChar w:fldCharType="separate"/>
      </w:r>
      <w:r>
        <w:rPr>
          <w:rStyle w:val="32"/>
        </w:rPr>
        <w:t>附录A（资料性）  医疗机器人机械臂关节1 DFMECA示例</w:t>
      </w:r>
      <w:r>
        <w:tab/>
      </w:r>
      <w:r>
        <w:fldChar w:fldCharType="begin"/>
      </w:r>
      <w:r>
        <w:instrText xml:space="preserve"> PAGEREF _Toc177558386 \h </w:instrText>
      </w:r>
      <w:r>
        <w:fldChar w:fldCharType="separate"/>
      </w:r>
      <w:r>
        <w:t>7</w:t>
      </w:r>
      <w:r>
        <w:fldChar w:fldCharType="end"/>
      </w:r>
      <w:r>
        <w:fldChar w:fldCharType="end"/>
      </w:r>
    </w:p>
    <w:p w14:paraId="03A67646">
      <w:pPr>
        <w:pStyle w:val="19"/>
        <w:tabs>
          <w:tab w:val="right" w:leader="dot" w:pos="9344"/>
        </w:tabs>
        <w:rPr>
          <w:rFonts w:asciiTheme="minorHAnsi" w:hAnsiTheme="minorHAnsi" w:eastAsiaTheme="minorEastAsia" w:cstheme="minorBidi"/>
          <w:szCs w:val="22"/>
        </w:rPr>
      </w:pPr>
      <w:r>
        <w:fldChar w:fldCharType="begin"/>
      </w:r>
      <w:r>
        <w:instrText xml:space="preserve"> HYPERLINK \l "_Toc177558395" </w:instrText>
      </w:r>
      <w:r>
        <w:fldChar w:fldCharType="separate"/>
      </w:r>
      <w:r>
        <w:rPr>
          <w:rStyle w:val="32"/>
        </w:rPr>
        <w:t>附录B（规范性）  FMECA 报告模板</w:t>
      </w:r>
      <w:r>
        <w:tab/>
      </w:r>
      <w:r>
        <w:fldChar w:fldCharType="begin"/>
      </w:r>
      <w:r>
        <w:instrText xml:space="preserve"> PAGEREF _Toc177558395 \h </w:instrText>
      </w:r>
      <w:r>
        <w:fldChar w:fldCharType="separate"/>
      </w:r>
      <w:r>
        <w:t>11</w:t>
      </w:r>
      <w:r>
        <w:fldChar w:fldCharType="end"/>
      </w:r>
      <w:r>
        <w:fldChar w:fldCharType="end"/>
      </w:r>
    </w:p>
    <w:p w14:paraId="49739B6F">
      <w:pPr>
        <w:pStyle w:val="19"/>
        <w:tabs>
          <w:tab w:val="right" w:leader="dot" w:pos="9344"/>
        </w:tabs>
        <w:rPr>
          <w:rFonts w:asciiTheme="minorHAnsi" w:hAnsiTheme="minorHAnsi" w:eastAsiaTheme="minorEastAsia" w:cstheme="minorBidi"/>
          <w:szCs w:val="22"/>
        </w:rPr>
      </w:pPr>
      <w:r>
        <w:fldChar w:fldCharType="begin"/>
      </w:r>
      <w:r>
        <w:instrText xml:space="preserve"> HYPERLINK \l "_Toc177558396" </w:instrText>
      </w:r>
      <w:r>
        <w:fldChar w:fldCharType="separate"/>
      </w:r>
      <w:r>
        <w:rPr>
          <w:rStyle w:val="32"/>
        </w:rPr>
        <w:t>附录C（资料性）  医疗机器人机械臂关节 1 PFMECA示例</w:t>
      </w:r>
      <w:r>
        <w:tab/>
      </w:r>
      <w:r>
        <w:fldChar w:fldCharType="begin"/>
      </w:r>
      <w:r>
        <w:instrText xml:space="preserve"> PAGEREF _Toc177558396 \h </w:instrText>
      </w:r>
      <w:r>
        <w:fldChar w:fldCharType="separate"/>
      </w:r>
      <w:r>
        <w:t>12</w:t>
      </w:r>
      <w:r>
        <w:fldChar w:fldCharType="end"/>
      </w:r>
      <w:r>
        <w:fldChar w:fldCharType="end"/>
      </w:r>
    </w:p>
    <w:p w14:paraId="3A5E261D">
      <w:pPr>
        <w:pStyle w:val="91"/>
        <w:spacing w:after="360"/>
        <w:sectPr>
          <w:headerReference r:id="rId11" w:type="default"/>
          <w:footerReference r:id="rId13" w:type="default"/>
          <w:headerReference r:id="rId12"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r>
        <w:fldChar w:fldCharType="end"/>
      </w:r>
    </w:p>
    <w:bookmarkEnd w:id="22"/>
    <w:p w14:paraId="69C0C965">
      <w:pPr>
        <w:pStyle w:val="89"/>
        <w:spacing w:before="900" w:after="360"/>
      </w:pPr>
      <w:bookmarkStart w:id="25" w:name="_Toc177558370"/>
      <w:bookmarkStart w:id="26" w:name="BookMark2"/>
      <w:r>
        <w:rPr>
          <w:spacing w:val="320"/>
        </w:rPr>
        <w:t>前</w:t>
      </w:r>
      <w:r>
        <w:t>言</w:t>
      </w:r>
      <w:bookmarkEnd w:id="23"/>
      <w:bookmarkEnd w:id="24"/>
      <w:bookmarkEnd w:id="25"/>
    </w:p>
    <w:p w14:paraId="58DE8F95">
      <w:pPr>
        <w:pStyle w:val="56"/>
        <w:ind w:firstLine="420"/>
      </w:pPr>
      <w:r>
        <w:rPr>
          <w:rFonts w:hint="eastAsia"/>
        </w:rPr>
        <w:t>本文件按照GB/T 1.1—2020《标准化工作导则  第1部分：标准化文件的结构和起草规则》的规定起草。</w:t>
      </w:r>
    </w:p>
    <w:p w14:paraId="32BE5020">
      <w:pPr>
        <w:pStyle w:val="56"/>
        <w:ind w:firstLine="420"/>
      </w:pPr>
    </w:p>
    <w:p w14:paraId="02BFC1DC">
      <w:pPr>
        <w:pStyle w:val="56"/>
        <w:ind w:firstLine="420"/>
      </w:pPr>
    </w:p>
    <w:p w14:paraId="7323D36D">
      <w:pPr>
        <w:pStyle w:val="56"/>
        <w:ind w:firstLine="420"/>
      </w:pPr>
    </w:p>
    <w:p w14:paraId="4EA6F765">
      <w:pPr>
        <w:pStyle w:val="56"/>
        <w:ind w:firstLine="420"/>
      </w:pPr>
      <w:r>
        <w:rPr>
          <w:rFonts w:hint="eastAsia"/>
        </w:rPr>
        <w:t>本文件由××××提出。</w:t>
      </w:r>
    </w:p>
    <w:p w14:paraId="4EA4CAB0">
      <w:pPr>
        <w:pStyle w:val="56"/>
        <w:ind w:firstLine="420"/>
      </w:pPr>
      <w:r>
        <w:rPr>
          <w:rFonts w:hint="eastAsia"/>
        </w:rPr>
        <w:t>本文件由××××归口。</w:t>
      </w:r>
    </w:p>
    <w:p w14:paraId="5B86CD7D">
      <w:pPr>
        <w:pStyle w:val="56"/>
        <w:ind w:firstLine="420"/>
      </w:pPr>
      <w:r>
        <w:rPr>
          <w:rFonts w:hint="eastAsia"/>
        </w:rPr>
        <w:t>本文件起草单位：</w:t>
      </w:r>
    </w:p>
    <w:p w14:paraId="44780B16">
      <w:pPr>
        <w:pStyle w:val="56"/>
        <w:ind w:firstLine="420"/>
      </w:pPr>
      <w:r>
        <w:rPr>
          <w:rFonts w:hint="eastAsia"/>
        </w:rPr>
        <w:t>本文件主要起草人：</w:t>
      </w:r>
    </w:p>
    <w:p w14:paraId="78ED286C">
      <w:pPr>
        <w:pStyle w:val="56"/>
        <w:ind w:firstLine="420"/>
      </w:pPr>
    </w:p>
    <w:p w14:paraId="5C4CED02">
      <w:pPr>
        <w:pStyle w:val="56"/>
        <w:ind w:firstLine="420"/>
        <w:sectPr>
          <w:pgSz w:w="11906" w:h="16838"/>
          <w:pgMar w:top="1928" w:right="1134" w:bottom="1134" w:left="1134" w:header="1418" w:footer="1134" w:gutter="284"/>
          <w:pgBorders>
            <w:top w:val="none" w:sz="0" w:space="0"/>
            <w:left w:val="none" w:sz="0" w:space="0"/>
            <w:bottom w:val="none" w:sz="0" w:space="0"/>
            <w:right w:val="none" w:sz="0" w:space="0"/>
          </w:pgBorders>
          <w:pgNumType w:fmt="upperRoman"/>
          <w:cols w:space="425" w:num="1"/>
          <w:formProt w:val="0"/>
          <w:docGrid w:linePitch="312" w:charSpace="0"/>
        </w:sectPr>
      </w:pPr>
    </w:p>
    <w:bookmarkEnd w:id="26"/>
    <w:p w14:paraId="4315D042">
      <w:pPr>
        <w:spacing w:line="20" w:lineRule="exact"/>
        <w:jc w:val="center"/>
        <w:rPr>
          <w:rFonts w:ascii="黑体" w:hAnsi="黑体" w:eastAsia="黑体"/>
          <w:sz w:val="32"/>
          <w:szCs w:val="32"/>
        </w:rPr>
      </w:pPr>
      <w:bookmarkStart w:id="27" w:name="BookMark4"/>
    </w:p>
    <w:p w14:paraId="78994BB0">
      <w:pPr>
        <w:spacing w:line="20" w:lineRule="exact"/>
        <w:jc w:val="center"/>
        <w:rPr>
          <w:rFonts w:ascii="黑体" w:hAnsi="黑体" w:eastAsia="黑体"/>
          <w:sz w:val="32"/>
          <w:szCs w:val="32"/>
        </w:rPr>
      </w:pPr>
    </w:p>
    <w:sdt>
      <w:sdtPr>
        <w:tag w:val="NEW_STAND_NAME"/>
        <w:id w:val="595910757"/>
        <w:lock w:val="sdtLocked"/>
        <w:placeholder>
          <w:docPart w:val="19C253C45C9948E5952B8DED06E32D16"/>
        </w:placeholder>
      </w:sdtPr>
      <w:sdtContent>
        <w:p w14:paraId="5B772CA9">
          <w:pPr>
            <w:pStyle w:val="177"/>
            <w:spacing w:before="240" w:beforeLines="100" w:after="528" w:afterLines="220"/>
          </w:pPr>
          <w:bookmarkStart w:id="28" w:name="NEW_STAND_NAME"/>
          <w:r>
            <w:rPr>
              <w:rFonts w:hint="eastAsia"/>
            </w:rPr>
            <w:t>有源医疗器械失效模式、影响及危害</w:t>
          </w:r>
          <w:r>
            <w:rPr>
              <w:rFonts w:hint="eastAsia"/>
              <w:lang w:val="en-US" w:eastAsia="zh-CN"/>
            </w:rPr>
            <w:t>性</w:t>
          </w:r>
          <w:r>
            <w:rPr>
              <w:rFonts w:hint="eastAsia"/>
            </w:rPr>
            <w:t>分析（</w:t>
          </w:r>
          <w:r>
            <w:t>FMECA）方法</w:t>
          </w:r>
        </w:p>
      </w:sdtContent>
    </w:sdt>
    <w:bookmarkEnd w:id="28"/>
    <w:p w14:paraId="6B627DCE">
      <w:pPr>
        <w:pStyle w:val="104"/>
        <w:spacing w:before="240" w:after="240"/>
      </w:pPr>
      <w:bookmarkStart w:id="29" w:name="_Toc97195091"/>
      <w:bookmarkStart w:id="30" w:name="_Toc26986530"/>
      <w:bookmarkStart w:id="31" w:name="_Toc26718930"/>
      <w:bookmarkStart w:id="32" w:name="_Toc17233325"/>
      <w:bookmarkStart w:id="33" w:name="_Toc26986771"/>
      <w:bookmarkStart w:id="34" w:name="_Toc24884218"/>
      <w:bookmarkStart w:id="35" w:name="_Toc177558316"/>
      <w:bookmarkStart w:id="36" w:name="_Toc17233333"/>
      <w:bookmarkStart w:id="37" w:name="_Toc24884211"/>
      <w:bookmarkStart w:id="38" w:name="_Toc177558371"/>
      <w:bookmarkStart w:id="39" w:name="_Toc26648465"/>
      <w:bookmarkStart w:id="40" w:name="_Toc177545579"/>
      <w:r>
        <w:rPr>
          <w:rFonts w:hint="eastAsia"/>
        </w:rPr>
        <w:t>范围</w:t>
      </w:r>
      <w:bookmarkEnd w:id="29"/>
      <w:bookmarkEnd w:id="30"/>
      <w:bookmarkEnd w:id="31"/>
      <w:bookmarkEnd w:id="32"/>
      <w:bookmarkEnd w:id="33"/>
      <w:bookmarkEnd w:id="34"/>
      <w:bookmarkEnd w:id="35"/>
      <w:bookmarkEnd w:id="36"/>
      <w:bookmarkEnd w:id="37"/>
      <w:bookmarkEnd w:id="38"/>
      <w:bookmarkEnd w:id="39"/>
      <w:bookmarkEnd w:id="40"/>
    </w:p>
    <w:p w14:paraId="41CF85C0">
      <w:pPr>
        <w:pStyle w:val="56"/>
        <w:ind w:firstLine="420"/>
      </w:pPr>
      <w:bookmarkStart w:id="41" w:name="_Toc24884219"/>
      <w:bookmarkStart w:id="42" w:name="_Toc26648466"/>
      <w:bookmarkStart w:id="43" w:name="_Toc24884212"/>
      <w:bookmarkStart w:id="44" w:name="_Toc17233326"/>
      <w:bookmarkStart w:id="45" w:name="_Toc17233334"/>
      <w:r>
        <w:rPr>
          <w:rFonts w:hint="eastAsia"/>
        </w:rPr>
        <w:t>本文件规定了系统性开展有源医疗器械失效模式、影响及危害</w:t>
      </w:r>
      <w:r>
        <w:rPr>
          <w:rFonts w:hint="eastAsia"/>
          <w:lang w:val="en-US" w:eastAsia="zh-CN"/>
        </w:rPr>
        <w:t>性</w:t>
      </w:r>
      <w:r>
        <w:rPr>
          <w:rFonts w:hint="eastAsia"/>
        </w:rPr>
        <w:t>分析(FMECA)的程序和方法。</w:t>
      </w:r>
    </w:p>
    <w:p w14:paraId="1901FC1F">
      <w:pPr>
        <w:pStyle w:val="56"/>
        <w:ind w:firstLine="420"/>
      </w:pPr>
      <w:r>
        <w:rPr>
          <w:rFonts w:hint="eastAsia"/>
        </w:rPr>
        <w:t>本文件适用于各类有源医疗器械的</w:t>
      </w:r>
      <w:r>
        <w:rPr>
          <w:rFonts w:hint="eastAsia"/>
          <w:lang w:val="en-US" w:eastAsia="zh-CN"/>
        </w:rPr>
        <w:t>失效</w:t>
      </w:r>
      <w:r>
        <w:rPr>
          <w:rFonts w:hint="eastAsia"/>
        </w:rPr>
        <w:t>模式、影响及危害</w:t>
      </w:r>
      <w:r>
        <w:rPr>
          <w:rFonts w:hint="eastAsia"/>
          <w:lang w:val="en-US" w:eastAsia="zh-CN"/>
        </w:rPr>
        <w:t>性</w:t>
      </w:r>
      <w:r>
        <w:rPr>
          <w:rFonts w:hint="eastAsia"/>
        </w:rPr>
        <w:t>分析过程。</w:t>
      </w:r>
    </w:p>
    <w:p w14:paraId="3B0629DE">
      <w:pPr>
        <w:pStyle w:val="104"/>
        <w:spacing w:before="240" w:after="240"/>
      </w:pPr>
      <w:bookmarkStart w:id="46" w:name="_Toc26986772"/>
      <w:bookmarkStart w:id="47" w:name="_Toc97195092"/>
      <w:bookmarkStart w:id="48" w:name="_Toc177545580"/>
      <w:bookmarkStart w:id="49" w:name="_Toc26718931"/>
      <w:bookmarkStart w:id="50" w:name="_Toc177558372"/>
      <w:bookmarkStart w:id="51" w:name="_Toc177558317"/>
      <w:bookmarkStart w:id="52" w:name="_Toc26986531"/>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DA45D338E18241C8864F7821A0F86F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9E0A6F8">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6E64C64">
      <w:pPr>
        <w:pStyle w:val="56"/>
        <w:ind w:firstLine="42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 16174.1—2024    手术植入物 有源植入式医疗器械 第1部分：安全、标记和制造商所提供信息的通用要求</w:t>
      </w:r>
    </w:p>
    <w:p w14:paraId="0F9F5ED3">
      <w:pPr>
        <w:pStyle w:val="56"/>
        <w:ind w:firstLine="420"/>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"https://std.samr.gov.cn/gb/search/gbDetailed?id=71F772D81729D3A7E05397BE0A0AB82A" \t "https://std.samr.gov.cn/search/stdPage?q=GB/_blank"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GB/T 2900.99</w:t>
      </w:r>
      <w:r>
        <w:rPr>
          <w:rFonts w:hint="default" w:ascii="Times New Roman" w:hAnsi="Times New Roman" w:cs="Times New Roman"/>
          <w:highlight w:val="none"/>
          <w:lang w:val="en-US" w:eastAsia="zh-CN"/>
        </w:rPr>
        <w:t>—</w:t>
      </w:r>
      <w:r>
        <w:rPr>
          <w:rFonts w:hint="default" w:ascii="Times New Roman" w:hAnsi="Times New Roman" w:cs="Times New Roman"/>
          <w:highlight w:val="none"/>
        </w:rPr>
        <w:t>2016  电工术语 可信性</w:t>
      </w:r>
      <w:r>
        <w:rPr>
          <w:rFonts w:hint="default" w:ascii="Times New Roman" w:hAnsi="Times New Roman" w:cs="Times New Roman"/>
          <w:highlight w:val="none"/>
        </w:rPr>
        <w:fldChar w:fldCharType="end"/>
      </w:r>
    </w:p>
    <w:p w14:paraId="3459D8EF">
      <w:pPr>
        <w:pStyle w:val="56"/>
        <w:ind w:firstLine="420"/>
        <w:rPr>
          <w:rFonts w:hint="default" w:ascii="Times New Roman" w:hAnsi="Times New Roman" w:cs="Times New Roman"/>
          <w:highlight w:val="none"/>
        </w:rPr>
      </w:pPr>
      <w:r>
        <w:rPr>
          <w:rFonts w:hint="default" w:ascii="Times New Roman" w:hAnsi="Times New Roman" w:cs="Times New Roman"/>
          <w:highlight w:val="none"/>
        </w:rPr>
        <w:t>GJB/Z 1391—2006</w:t>
      </w:r>
      <w:r>
        <w:rPr>
          <w:rFonts w:hint="default" w:ascii="Times New Roman" w:hAnsi="Times New Roman" w:cs="Times New Roman"/>
          <w:highlight w:val="none"/>
          <w:lang w:val="en-US" w:eastAsia="zh-CN"/>
        </w:rPr>
        <w:t xml:space="preserve">    </w:t>
      </w:r>
      <w:r>
        <w:rPr>
          <w:rFonts w:hint="eastAsia" w:ascii="Times New Roman" w:cs="Times New Roman"/>
          <w:highlight w:val="none"/>
          <w:lang w:val="en-US" w:eastAsia="zh-CN"/>
        </w:rPr>
        <w:t>失效</w:t>
      </w:r>
      <w:r>
        <w:rPr>
          <w:rFonts w:hint="default" w:ascii="Times New Roman" w:hAnsi="Times New Roman" w:cs="Times New Roman"/>
          <w:highlight w:val="none"/>
          <w:lang w:val="en-US" w:eastAsia="zh-CN"/>
        </w:rPr>
        <w:t>模式、影响及危害性分析指南</w:t>
      </w:r>
    </w:p>
    <w:p w14:paraId="377F96F3">
      <w:pPr>
        <w:pStyle w:val="104"/>
        <w:spacing w:before="240" w:after="240"/>
      </w:pPr>
      <w:bookmarkStart w:id="53" w:name="_Toc97195093"/>
      <w:bookmarkStart w:id="54" w:name="_Toc177545581"/>
      <w:bookmarkStart w:id="55" w:name="_Toc177558373"/>
      <w:bookmarkStart w:id="56" w:name="_Toc177558318"/>
      <w:r>
        <w:rPr>
          <w:rFonts w:hint="eastAsia"/>
          <w:szCs w:val="21"/>
        </w:rPr>
        <w:t>术语和定义</w:t>
      </w:r>
      <w:bookmarkEnd w:id="53"/>
      <w:bookmarkEnd w:id="54"/>
      <w:bookmarkEnd w:id="55"/>
      <w:bookmarkEnd w:id="56"/>
    </w:p>
    <w:sdt>
      <w:sdtPr>
        <w:rPr>
          <w:rFonts w:hint="default" w:ascii="Times New Roman" w:hAnsi="Times New Roman" w:cs="Times New Roman"/>
        </w:rPr>
        <w:id w:val="-1909835108"/>
        <w:placeholder>
          <w:docPart w:val="CB150515BE2F47EC97A7238147D0D1B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rPr>
      </w:sdtEndPr>
      <w:sdtContent>
        <w:p w14:paraId="6EB59B20">
          <w:pPr>
            <w:pStyle w:val="56"/>
            <w:ind w:firstLine="420"/>
            <w:rPr>
              <w:rFonts w:hint="eastAsia"/>
            </w:rPr>
          </w:pPr>
          <w:bookmarkStart w:id="57" w:name="_Toc26986532"/>
          <w:bookmarkEnd w:id="57"/>
          <w:r>
            <w:rPr>
              <w:rFonts w:hint="default" w:ascii="Times New Roman" w:hAnsi="Times New Roman" w:cs="Times New Roman"/>
              <w:b w:val="0"/>
              <w:bCs w:val="0"/>
              <w:i w:val="0"/>
              <w:iCs w:val="0"/>
              <w:caps w:val="0"/>
              <w:color w:val="auto"/>
              <w:spacing w:val="0"/>
              <w:sz w:val="21"/>
              <w:szCs w:val="21"/>
              <w:u w:val="none"/>
              <w:shd w:val="clear" w:fill="FFFFFF"/>
              <w:lang w:val="en-US" w:eastAsia="zh-CN"/>
            </w:rPr>
            <w:t>GB 16174.1</w:t>
          </w:r>
          <w:r>
            <w:rPr>
              <w:rFonts w:hint="default" w:ascii="Times New Roman" w:hAnsi="Times New Roman" w:eastAsia="宋体" w:cs="Times New Roman"/>
              <w:color w:val="auto"/>
              <w:sz w:val="21"/>
              <w:highlight w:val="none"/>
              <w:lang w:val="en-US" w:eastAsia="zh-CN" w:bidi="ar-SA"/>
            </w:rPr>
            <w:t>—2024</w:t>
          </w:r>
          <w:r>
            <w:rPr>
              <w:rFonts w:hint="default" w:ascii="Times New Roman" w:hAnsi="Times New Roman" w:eastAsia="宋体" w:cs="Times New Roman"/>
              <w:sz w:val="21"/>
              <w:highlight w:val="none"/>
              <w:lang w:val="en-US" w:eastAsia="zh-CN" w:bidi="ar-SA"/>
            </w:rPr>
            <w:t>、</w:t>
          </w:r>
          <w:r>
            <w:rPr>
              <w:rFonts w:hint="default" w:ascii="Times New Roman" w:hAnsi="Times New Roman" w:eastAsia="宋体" w:cs="Times New Roman"/>
              <w:b w:val="0"/>
              <w:bCs w:val="0"/>
              <w:i w:val="0"/>
              <w:iCs w:val="0"/>
              <w:caps w:val="0"/>
              <w:color w:val="auto"/>
              <w:spacing w:val="0"/>
              <w:sz w:val="21"/>
              <w:szCs w:val="24"/>
              <w:u w:val="none"/>
              <w:shd w:val="clear" w:fill="auto"/>
            </w:rPr>
            <w:t>GB/T 2900.99</w:t>
          </w:r>
          <w:r>
            <w:rPr>
              <w:rFonts w:hint="default" w:ascii="Times New Roman" w:hAnsi="Times New Roman" w:eastAsia="宋体" w:cs="Times New Roman"/>
              <w:sz w:val="21"/>
              <w:lang w:val="en-US" w:eastAsia="zh-CN" w:bidi="ar-SA"/>
            </w:rPr>
            <w:t>—</w:t>
          </w:r>
          <w:r>
            <w:rPr>
              <w:rFonts w:hint="default" w:ascii="Times New Roman" w:hAnsi="Times New Roman" w:eastAsia="宋体" w:cs="Times New Roman"/>
              <w:b w:val="0"/>
              <w:bCs w:val="0"/>
              <w:i w:val="0"/>
              <w:iCs w:val="0"/>
              <w:caps w:val="0"/>
              <w:color w:val="auto"/>
              <w:spacing w:val="0"/>
              <w:sz w:val="21"/>
              <w:szCs w:val="24"/>
              <w:u w:val="none"/>
              <w:shd w:val="clear" w:fill="auto"/>
            </w:rPr>
            <w:t>2016</w:t>
          </w:r>
          <w:r>
            <w:rPr>
              <w:rFonts w:hint="default" w:ascii="Times New Roman" w:hAnsi="Times New Roman" w:eastAsia="宋体" w:cs="Times New Roman"/>
              <w:b w:val="0"/>
              <w:bCs w:val="0"/>
              <w:i w:val="0"/>
              <w:iCs w:val="0"/>
              <w:caps w:val="0"/>
              <w:spacing w:val="0"/>
              <w:sz w:val="21"/>
              <w:szCs w:val="24"/>
              <w:u w:val="none"/>
              <w:shd w:val="clear"/>
              <w:lang w:eastAsia="zh-CN"/>
            </w:rPr>
            <w:t>、</w:t>
          </w:r>
          <w:r>
            <w:rPr>
              <w:rFonts w:hint="default" w:ascii="Times New Roman" w:hAnsi="Times New Roman" w:eastAsia="宋体" w:cs="Times New Roman"/>
              <w:highlight w:val="none"/>
            </w:rPr>
            <w:t>GJB/Z 1391—2006</w:t>
          </w:r>
          <w:r>
            <w:t>界定的以及下列术语和定义适用于本文件。</w:t>
          </w:r>
        </w:p>
      </w:sdtContent>
    </w:sdt>
    <w:p w14:paraId="67563802">
      <w:pPr>
        <w:pStyle w:val="223"/>
        <w:ind w:left="420" w:hanging="420" w:hangingChars="200"/>
        <w:rPr>
          <w:rFonts w:hint="eastAsia" w:ascii="黑体" w:hAnsi="黑体" w:eastAsia="黑体"/>
        </w:rPr>
      </w:pPr>
    </w:p>
    <w:p w14:paraId="6F0560C6">
      <w:pPr>
        <w:pStyle w:val="223"/>
        <w:numPr>
          <w:ilvl w:val="2"/>
          <w:numId w:val="0"/>
        </w:numPr>
        <w:ind w:left="-420" w:leftChars="-200" w:firstLine="840" w:firstLineChars="0"/>
        <w:rPr>
          <w:rFonts w:hint="eastAsia" w:ascii="黑体" w:hAnsi="黑体" w:eastAsia="黑体"/>
        </w:rPr>
      </w:pPr>
      <w:r>
        <w:rPr>
          <w:rFonts w:hint="eastAsia" w:ascii="黑体" w:hAnsi="黑体" w:eastAsia="黑体"/>
        </w:rPr>
        <w:t>有源医疗器械  active medical device</w:t>
      </w:r>
    </w:p>
    <w:p w14:paraId="49C34EB6">
      <w:pPr>
        <w:pStyle w:val="56"/>
        <w:ind w:firstLine="420"/>
        <w:rPr>
          <w:rFonts w:hint="eastAsia"/>
        </w:rPr>
      </w:pPr>
      <w:r>
        <w:rPr>
          <w:rFonts w:hint="eastAsia"/>
        </w:rPr>
        <w:t>依靠电能或者其他</w:t>
      </w:r>
      <w:r>
        <w:rPr>
          <w:rFonts w:hint="eastAsia"/>
          <w:lang w:val="en-US" w:eastAsia="zh-CN"/>
        </w:rPr>
        <w:t>能量源</w:t>
      </w:r>
      <w:r>
        <w:rPr>
          <w:rFonts w:hint="eastAsia"/>
        </w:rPr>
        <w:t>而</w:t>
      </w:r>
      <w:r>
        <w:rPr>
          <w:rFonts w:hint="eastAsia"/>
          <w:lang w:val="en-US" w:eastAsia="zh-CN"/>
        </w:rPr>
        <w:t>非</w:t>
      </w:r>
      <w:r>
        <w:rPr>
          <w:rFonts w:hint="eastAsia"/>
        </w:rPr>
        <w:t>直接人体或重力产生的能量</w:t>
      </w:r>
      <w:r>
        <w:rPr>
          <w:rFonts w:hint="eastAsia"/>
          <w:lang w:val="en-US" w:eastAsia="zh-CN"/>
        </w:rPr>
        <w:t>源以</w:t>
      </w:r>
      <w:r>
        <w:rPr>
          <w:rFonts w:hint="eastAsia"/>
        </w:rPr>
        <w:t>发挥其功能的医疗器械。</w:t>
      </w:r>
    </w:p>
    <w:p w14:paraId="212441F1">
      <w:pPr>
        <w:pStyle w:val="56"/>
        <w:ind w:firstLine="420"/>
        <w:rPr>
          <w:rFonts w:hint="eastAsia"/>
        </w:rPr>
      </w:pPr>
      <w:r>
        <w:rPr>
          <w:rFonts w:hint="eastAsia" w:ascii="宋体" w:hAnsi="Times New Roman" w:eastAsia="宋体" w:cs="Times New Roman"/>
          <w:sz w:val="21"/>
          <w:highlight w:val="none"/>
          <w:lang w:val="en-US" w:eastAsia="zh-CN" w:bidi="ar-SA"/>
        </w:rPr>
        <w:t>[来源：GB 16174.1—2024,3.1</w:t>
      </w:r>
      <w:r>
        <w:rPr>
          <w:rFonts w:hint="eastAsia" w:ascii="宋体" w:hAnsi="Times New Roman" w:eastAsia="宋体" w:cs="Times New Roman"/>
          <w:highlight w:val="none"/>
          <w:lang w:val="en-US" w:eastAsia="zh-CN"/>
        </w:rPr>
        <w:t>]</w:t>
      </w:r>
    </w:p>
    <w:p w14:paraId="7AACEE91">
      <w:pPr>
        <w:pStyle w:val="223"/>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产品  item</w:t>
      </w:r>
    </w:p>
    <w:p w14:paraId="35CE4094">
      <w:pPr>
        <w:pStyle w:val="56"/>
        <w:ind w:firstLine="420"/>
        <w:rPr>
          <w:rFonts w:hint="eastAsia"/>
          <w:lang w:val="en-US" w:eastAsia="zh-CN"/>
        </w:rPr>
      </w:pPr>
      <w:r>
        <w:rPr>
          <w:rFonts w:hint="eastAsia"/>
          <w:lang w:val="en-US" w:eastAsia="zh-CN"/>
        </w:rPr>
        <w:t xml:space="preserve">考虑的对象。 </w:t>
      </w:r>
    </w:p>
    <w:p w14:paraId="670B87B3">
      <w:pPr>
        <w:pStyle w:val="56"/>
        <w:ind w:left="0" w:leftChars="0" w:firstLine="420" w:firstLineChars="0"/>
        <w:rPr>
          <w:rFonts w:hint="eastAsia"/>
          <w:sz w:val="18"/>
          <w:szCs w:val="16"/>
        </w:rPr>
      </w:pPr>
      <w:r>
        <w:rPr>
          <w:rFonts w:hint="eastAsia"/>
          <w:sz w:val="18"/>
          <w:szCs w:val="16"/>
        </w:rPr>
        <w:t>注</w:t>
      </w:r>
      <w:r>
        <w:rPr>
          <w:rFonts w:hint="eastAsia"/>
          <w:sz w:val="18"/>
          <w:szCs w:val="16"/>
          <w:lang w:val="en-US" w:eastAsia="zh-CN"/>
        </w:rPr>
        <w:t>1</w:t>
      </w:r>
      <w:r>
        <w:rPr>
          <w:rFonts w:hint="eastAsia"/>
          <w:sz w:val="18"/>
          <w:szCs w:val="16"/>
        </w:rPr>
        <w:t>：产品可以是单个部件、元件、器件、功能单元、设备、分系统或系统。</w:t>
      </w:r>
    </w:p>
    <w:p w14:paraId="6A718F87">
      <w:pPr>
        <w:pStyle w:val="56"/>
        <w:ind w:left="0" w:leftChars="0" w:firstLine="420" w:firstLineChars="0"/>
        <w:rPr>
          <w:rFonts w:hint="eastAsia"/>
          <w:sz w:val="18"/>
          <w:szCs w:val="16"/>
          <w:lang w:val="en-US" w:eastAsia="zh-CN"/>
        </w:rPr>
      </w:pPr>
      <w:r>
        <w:rPr>
          <w:rFonts w:hint="eastAsia"/>
          <w:sz w:val="18"/>
          <w:szCs w:val="16"/>
          <w:lang w:val="en-US" w:eastAsia="zh-CN"/>
        </w:rPr>
        <w:t>注2：产品可以由硬件、软件、人员组成，或其任意组合。</w:t>
      </w:r>
    </w:p>
    <w:p w14:paraId="52131B29">
      <w:pPr>
        <w:pStyle w:val="56"/>
        <w:ind w:firstLine="420"/>
        <w:rPr>
          <w:rFonts w:hint="eastAsia"/>
          <w:lang w:val="en-US" w:eastAsia="zh-CN"/>
        </w:rPr>
      </w:pPr>
      <w:r>
        <w:rPr>
          <w:rFonts w:hint="eastAsia"/>
          <w:lang w:val="en-US" w:eastAsia="zh-CN"/>
        </w:rPr>
        <w:t>[来源：GB/T 2900.99—2016,192-01-01]</w:t>
      </w:r>
    </w:p>
    <w:p w14:paraId="56781F08">
      <w:pPr>
        <w:pStyle w:val="223"/>
        <w:ind w:left="420" w:hanging="420" w:hangingChars="200"/>
        <w:rPr>
          <w:rFonts w:hint="eastAsia" w:ascii="黑体" w:hAnsi="黑体" w:eastAsia="黑体"/>
        </w:rPr>
      </w:pPr>
    </w:p>
    <w:p w14:paraId="66B727BC">
      <w:pPr>
        <w:pStyle w:val="223"/>
        <w:numPr>
          <w:ilvl w:val="2"/>
          <w:numId w:val="0"/>
        </w:numPr>
        <w:ind w:left="-420" w:leftChars="-200" w:firstLine="840" w:firstLineChars="0"/>
        <w:rPr>
          <w:rFonts w:hint="eastAsia" w:ascii="黑体" w:hAnsi="黑体" w:eastAsia="黑体"/>
        </w:rPr>
      </w:pPr>
      <w:r>
        <w:rPr>
          <w:rFonts w:hint="eastAsia" w:ascii="黑体" w:hAnsi="黑体" w:eastAsia="黑体"/>
          <w:lang w:val="en-US" w:eastAsia="zh-CN"/>
        </w:rPr>
        <w:t>失效</w:t>
      </w:r>
      <w:r>
        <w:rPr>
          <w:rFonts w:hint="eastAsia" w:ascii="黑体" w:hAnsi="黑体" w:eastAsia="黑体"/>
        </w:rPr>
        <w:t xml:space="preserve">  </w:t>
      </w:r>
      <w:r>
        <w:rPr>
          <w:rFonts w:hint="eastAsia" w:ascii="黑体" w:hAnsi="黑体" w:eastAsia="黑体"/>
          <w:lang w:val="en-US" w:eastAsia="zh-CN"/>
        </w:rPr>
        <w:t>failure</w:t>
      </w:r>
    </w:p>
    <w:p w14:paraId="439B5861">
      <w:pPr>
        <w:pStyle w:val="56"/>
        <w:ind w:firstLine="420"/>
        <w:rPr>
          <w:rFonts w:hint="eastAsia"/>
          <w:lang w:val="en-US" w:eastAsia="zh-CN"/>
        </w:rPr>
      </w:pPr>
      <w:r>
        <w:rPr>
          <w:rFonts w:hint="eastAsia"/>
          <w:lang w:val="en-US" w:eastAsia="zh-CN"/>
        </w:rPr>
        <w:t>执行要求的能力的丧失。</w:t>
      </w:r>
    </w:p>
    <w:p w14:paraId="101EED2E">
      <w:pPr>
        <w:pStyle w:val="56"/>
        <w:ind w:firstLine="420"/>
        <w:rPr>
          <w:rFonts w:hint="eastAsia"/>
          <w:lang w:val="en-US" w:eastAsia="zh-CN"/>
        </w:rPr>
      </w:pPr>
      <w:r>
        <w:rPr>
          <w:rFonts w:hint="eastAsia"/>
          <w:lang w:val="en-US" w:eastAsia="zh-CN"/>
        </w:rPr>
        <w:t>[来源：GB/T 2900.99—2016,192-03-01]</w:t>
      </w:r>
    </w:p>
    <w:p w14:paraId="1475BC00">
      <w:pPr>
        <w:pStyle w:val="223"/>
        <w:ind w:left="420" w:hanging="420" w:hangingChars="200"/>
        <w:rPr>
          <w:rFonts w:hint="eastAsia" w:ascii="黑体" w:hAnsi="黑体" w:eastAsia="黑体"/>
        </w:rPr>
      </w:pPr>
    </w:p>
    <w:p w14:paraId="01530587">
      <w:pPr>
        <w:pStyle w:val="223"/>
        <w:numPr>
          <w:ilvl w:val="2"/>
          <w:numId w:val="0"/>
        </w:numPr>
        <w:ind w:left="-420" w:leftChars="-200" w:firstLine="840" w:firstLineChars="0"/>
        <w:rPr>
          <w:rFonts w:hint="eastAsia" w:ascii="黑体" w:hAnsi="黑体" w:eastAsia="黑体"/>
        </w:rPr>
      </w:pPr>
      <w:r>
        <w:rPr>
          <w:rFonts w:hint="eastAsia" w:ascii="黑体" w:hAnsi="黑体" w:eastAsia="黑体"/>
          <w:lang w:val="en-US" w:eastAsia="zh-CN"/>
        </w:rPr>
        <w:t>失效模式</w:t>
      </w:r>
      <w:r>
        <w:rPr>
          <w:rFonts w:hint="eastAsia" w:ascii="黑体" w:hAnsi="黑体" w:eastAsia="黑体"/>
        </w:rPr>
        <w:t xml:space="preserve">  </w:t>
      </w:r>
      <w:r>
        <w:rPr>
          <w:rFonts w:hint="eastAsia" w:ascii="黑体" w:hAnsi="黑体" w:eastAsia="黑体"/>
          <w:lang w:val="en-US" w:eastAsia="zh-CN"/>
        </w:rPr>
        <w:t>failure mode</w:t>
      </w:r>
    </w:p>
    <w:p w14:paraId="525D6C3A">
      <w:pPr>
        <w:pStyle w:val="56"/>
        <w:ind w:firstLine="420"/>
        <w:rPr>
          <w:rFonts w:hint="eastAsia"/>
          <w:lang w:val="en-US" w:eastAsia="zh-CN"/>
        </w:rPr>
      </w:pPr>
      <w:r>
        <w:rPr>
          <w:rFonts w:hint="eastAsia"/>
          <w:lang w:val="en-US" w:eastAsia="zh-CN"/>
        </w:rPr>
        <w:t>失效发生的种类。</w:t>
      </w:r>
    </w:p>
    <w:p w14:paraId="4E8DDE84">
      <w:pPr>
        <w:pStyle w:val="56"/>
        <w:ind w:left="0" w:leftChars="0" w:firstLine="420" w:firstLineChars="0"/>
        <w:rPr>
          <w:rFonts w:hint="eastAsia"/>
          <w:sz w:val="18"/>
          <w:szCs w:val="16"/>
          <w:lang w:val="en-US" w:eastAsia="zh-CN"/>
        </w:rPr>
      </w:pPr>
      <w:r>
        <w:rPr>
          <w:rFonts w:hint="eastAsia"/>
          <w:sz w:val="18"/>
          <w:szCs w:val="16"/>
          <w:lang w:val="en-US" w:eastAsia="zh-CN"/>
        </w:rPr>
        <w:t>注：失效模式可由功能丧失或发生其他状态的转变来规定。</w:t>
      </w:r>
    </w:p>
    <w:p w14:paraId="2D62DB44">
      <w:pPr>
        <w:pStyle w:val="56"/>
        <w:ind w:firstLine="420"/>
        <w:rPr>
          <w:rFonts w:hint="eastAsia"/>
          <w:lang w:val="en-US" w:eastAsia="zh-CN"/>
        </w:rPr>
      </w:pPr>
      <w:r>
        <w:rPr>
          <w:rFonts w:hint="eastAsia"/>
          <w:lang w:val="en-US" w:eastAsia="zh-CN"/>
        </w:rPr>
        <w:t>[来源：GB/T 2900.99—2016,192-03-17]</w:t>
      </w:r>
    </w:p>
    <w:p w14:paraId="0562674E">
      <w:pPr>
        <w:pStyle w:val="223"/>
        <w:ind w:left="420" w:hanging="420" w:hangingChars="200"/>
        <w:rPr>
          <w:rFonts w:hint="eastAsia" w:ascii="黑体" w:hAnsi="黑体" w:eastAsia="黑体"/>
        </w:rPr>
      </w:pPr>
    </w:p>
    <w:p w14:paraId="23D20C95">
      <w:pPr>
        <w:pStyle w:val="223"/>
        <w:numPr>
          <w:ilvl w:val="2"/>
          <w:numId w:val="0"/>
        </w:numPr>
        <w:ind w:left="-420" w:leftChars="-200" w:firstLine="840" w:firstLineChars="0"/>
        <w:rPr>
          <w:rFonts w:hint="eastAsia" w:ascii="黑体" w:hAnsi="黑体" w:eastAsia="黑体"/>
        </w:rPr>
      </w:pPr>
      <w:r>
        <w:rPr>
          <w:rFonts w:hint="eastAsia" w:ascii="黑体" w:hAnsi="黑体" w:eastAsia="黑体"/>
          <w:lang w:val="en-US" w:eastAsia="zh-CN"/>
        </w:rPr>
        <w:t>失效影响</w:t>
      </w:r>
      <w:r>
        <w:rPr>
          <w:rFonts w:hint="eastAsia" w:ascii="黑体" w:hAnsi="黑体" w:eastAsia="黑体"/>
        </w:rPr>
        <w:t xml:space="preserve">  </w:t>
      </w:r>
      <w:r>
        <w:rPr>
          <w:rFonts w:hint="eastAsia" w:ascii="黑体" w:hAnsi="黑体" w:eastAsia="黑体"/>
          <w:lang w:val="en-US" w:eastAsia="zh-CN"/>
        </w:rPr>
        <w:t>failure effect</w:t>
      </w:r>
    </w:p>
    <w:p w14:paraId="4B6F7A49">
      <w:pPr>
        <w:pStyle w:val="56"/>
        <w:ind w:firstLine="420"/>
        <w:rPr>
          <w:rFonts w:hint="eastAsia"/>
          <w:lang w:val="en-US" w:eastAsia="zh-CN"/>
        </w:rPr>
      </w:pPr>
      <w:r>
        <w:rPr>
          <w:rFonts w:hint="eastAsia"/>
          <w:lang w:val="en-US" w:eastAsia="zh-CN"/>
        </w:rPr>
        <w:t>影响失效产品本身或之外的失效后果。</w:t>
      </w:r>
    </w:p>
    <w:p w14:paraId="774BFC6D">
      <w:pPr>
        <w:pStyle w:val="56"/>
        <w:ind w:left="0" w:leftChars="0" w:firstLine="420" w:firstLineChars="0"/>
        <w:rPr>
          <w:rFonts w:hint="eastAsia"/>
          <w:sz w:val="18"/>
          <w:szCs w:val="16"/>
          <w:lang w:val="en-US" w:eastAsia="zh-CN"/>
        </w:rPr>
      </w:pPr>
      <w:r>
        <w:rPr>
          <w:rFonts w:hint="eastAsia"/>
          <w:sz w:val="18"/>
          <w:szCs w:val="16"/>
          <w:lang w:val="en-US" w:eastAsia="zh-CN"/>
        </w:rPr>
        <w:t>注：对一些分析，考虑单独的失效模式及其影响是必需的。</w:t>
      </w:r>
    </w:p>
    <w:p w14:paraId="51339FBA">
      <w:pPr>
        <w:pStyle w:val="56"/>
        <w:ind w:firstLine="420"/>
        <w:rPr>
          <w:rFonts w:hint="eastAsia"/>
          <w:lang w:val="en-US" w:eastAsia="zh-CN"/>
        </w:rPr>
      </w:pPr>
      <w:r>
        <w:rPr>
          <w:rFonts w:hint="eastAsia"/>
          <w:lang w:val="en-US" w:eastAsia="zh-CN"/>
        </w:rPr>
        <w:t>[来源：GB/T 2900.99—2016,192-03-08]</w:t>
      </w:r>
    </w:p>
    <w:p w14:paraId="04134351">
      <w:pPr>
        <w:pStyle w:val="223"/>
        <w:ind w:left="420" w:hanging="420" w:hangingChars="200"/>
        <w:rPr>
          <w:rFonts w:hint="eastAsia" w:ascii="黑体" w:hAnsi="黑体" w:eastAsia="黑体"/>
        </w:rPr>
      </w:pPr>
    </w:p>
    <w:p w14:paraId="6CAE9161">
      <w:pPr>
        <w:pStyle w:val="223"/>
        <w:numPr>
          <w:ilvl w:val="2"/>
          <w:numId w:val="0"/>
        </w:numPr>
        <w:ind w:firstLine="420" w:firstLineChars="0"/>
        <w:rPr>
          <w:rFonts w:hint="eastAsia" w:ascii="黑体" w:hAnsi="黑体" w:eastAsia="黑体"/>
        </w:rPr>
      </w:pPr>
      <w:r>
        <w:rPr>
          <w:rFonts w:hint="eastAsia" w:ascii="黑体" w:hAnsi="黑体" w:eastAsia="黑体"/>
          <w:lang w:val="en-US" w:eastAsia="zh-CN"/>
        </w:rPr>
        <w:t>失效原因</w:t>
      </w:r>
      <w:r>
        <w:rPr>
          <w:rFonts w:hint="eastAsia" w:ascii="黑体" w:hAnsi="黑体" w:eastAsia="黑体"/>
        </w:rPr>
        <w:t xml:space="preserve">  </w:t>
      </w:r>
      <w:r>
        <w:rPr>
          <w:rFonts w:hint="eastAsia" w:ascii="黑体" w:hAnsi="黑体" w:eastAsia="黑体"/>
          <w:lang w:val="en-US" w:eastAsia="zh-CN"/>
        </w:rPr>
        <w:t>failure cause</w:t>
      </w:r>
    </w:p>
    <w:p w14:paraId="119107A2">
      <w:pPr>
        <w:pStyle w:val="56"/>
        <w:ind w:left="0" w:leftChars="0" w:firstLine="420" w:firstLineChars="0"/>
        <w:rPr>
          <w:rFonts w:hint="eastAsia"/>
          <w:lang w:val="en-US" w:eastAsia="zh-CN"/>
        </w:rPr>
      </w:pPr>
      <w:r>
        <w:rPr>
          <w:rFonts w:hint="eastAsia"/>
          <w:lang w:val="en-US" w:eastAsia="zh-CN"/>
        </w:rPr>
        <w:t>导致失效的因素的集合。</w:t>
      </w:r>
    </w:p>
    <w:p w14:paraId="6A0DEC65">
      <w:pPr>
        <w:pStyle w:val="56"/>
        <w:ind w:left="0" w:leftChars="0" w:firstLine="420" w:firstLineChars="0"/>
        <w:rPr>
          <w:rFonts w:hint="eastAsia"/>
          <w:sz w:val="18"/>
          <w:szCs w:val="16"/>
          <w:lang w:val="en-US" w:eastAsia="zh-CN"/>
        </w:rPr>
      </w:pPr>
      <w:r>
        <w:rPr>
          <w:rFonts w:hint="eastAsia"/>
          <w:sz w:val="18"/>
          <w:szCs w:val="16"/>
          <w:lang w:val="en-US" w:eastAsia="zh-CN"/>
        </w:rPr>
        <w:t>注：失效原因可来源于产品的规范、设计、制造、安装、运行或维修。</w:t>
      </w:r>
    </w:p>
    <w:p w14:paraId="5CB7671C">
      <w:pPr>
        <w:pStyle w:val="56"/>
        <w:ind w:left="0" w:leftChars="0" w:firstLine="420" w:firstLineChars="0"/>
        <w:rPr>
          <w:rFonts w:hint="eastAsia"/>
          <w:lang w:val="en-US" w:eastAsia="zh-CN"/>
        </w:rPr>
      </w:pPr>
      <w:r>
        <w:rPr>
          <w:rFonts w:hint="eastAsia"/>
          <w:lang w:val="en-US" w:eastAsia="zh-CN"/>
        </w:rPr>
        <w:t>[来源：GB/T 2900.99—2016,192-03-11]</w:t>
      </w:r>
    </w:p>
    <w:p w14:paraId="0063066A">
      <w:pPr>
        <w:pStyle w:val="223"/>
        <w:ind w:left="420" w:hanging="420" w:hangingChars="200"/>
        <w:rPr>
          <w:rFonts w:hint="eastAsia" w:ascii="黑体" w:hAnsi="黑体" w:eastAsia="黑体"/>
        </w:rPr>
      </w:pPr>
    </w:p>
    <w:p w14:paraId="4370142E">
      <w:pPr>
        <w:pStyle w:val="223"/>
        <w:numPr>
          <w:ilvl w:val="2"/>
          <w:numId w:val="0"/>
        </w:numPr>
        <w:ind w:left="-420" w:leftChars="-200" w:firstLine="840" w:firstLineChars="0"/>
        <w:rPr>
          <w:rFonts w:hint="eastAsia" w:ascii="黑体" w:hAnsi="黑体" w:eastAsia="黑体"/>
        </w:rPr>
      </w:pPr>
      <w:r>
        <w:rPr>
          <w:rFonts w:hint="eastAsia" w:ascii="黑体" w:hAnsi="黑体" w:eastAsia="黑体"/>
          <w:lang w:val="en-US" w:eastAsia="zh-CN"/>
        </w:rPr>
        <w:t>失效模式及影响分析</w:t>
      </w:r>
      <w:r>
        <w:rPr>
          <w:rFonts w:hint="eastAsia" w:ascii="黑体" w:hAnsi="黑体" w:eastAsia="黑体"/>
        </w:rPr>
        <w:t xml:space="preserve">  </w:t>
      </w:r>
      <w:r>
        <w:rPr>
          <w:rFonts w:hint="eastAsia" w:ascii="黑体" w:hAnsi="黑体" w:eastAsia="黑体"/>
          <w:lang w:val="en-US" w:eastAsia="zh-CN"/>
        </w:rPr>
        <w:t xml:space="preserve">failure </w:t>
      </w:r>
      <w:r>
        <w:rPr>
          <w:rFonts w:hint="eastAsia" w:ascii="黑体" w:hAnsi="黑体" w:eastAsia="黑体"/>
        </w:rPr>
        <w:t>modes</w:t>
      </w:r>
      <w:r>
        <w:rPr>
          <w:rFonts w:hint="eastAsia" w:ascii="黑体" w:hAnsi="黑体" w:eastAsia="黑体"/>
          <w:lang w:val="en-US" w:eastAsia="zh-CN"/>
        </w:rPr>
        <w:t xml:space="preserve"> and </w:t>
      </w:r>
      <w:r>
        <w:rPr>
          <w:rFonts w:hint="eastAsia" w:ascii="黑体" w:hAnsi="黑体" w:eastAsia="黑体"/>
        </w:rPr>
        <w:t>effects analysis；FMEA</w:t>
      </w:r>
    </w:p>
    <w:p w14:paraId="66F106B4">
      <w:pPr>
        <w:pStyle w:val="56"/>
        <w:ind w:firstLine="420"/>
        <w:rPr>
          <w:rFonts w:hint="eastAsia"/>
          <w:lang w:val="en-US" w:eastAsia="zh-CN"/>
        </w:rPr>
      </w:pPr>
      <w:r>
        <w:rPr>
          <w:rFonts w:hint="eastAsia"/>
          <w:lang w:val="en-US" w:eastAsia="zh-CN"/>
        </w:rPr>
        <w:t>针对子产品中可能的失效模式和失效及其对不同层次影响的研究的定性分析方法。</w:t>
      </w:r>
    </w:p>
    <w:p w14:paraId="57CCFB59">
      <w:pPr>
        <w:pStyle w:val="56"/>
        <w:ind w:firstLine="420"/>
        <w:rPr>
          <w:rFonts w:hint="eastAsia"/>
          <w:lang w:val="en-US" w:eastAsia="zh-CN"/>
        </w:rPr>
      </w:pPr>
      <w:r>
        <w:rPr>
          <w:rFonts w:hint="eastAsia"/>
          <w:lang w:val="en-US" w:eastAsia="zh-CN"/>
        </w:rPr>
        <w:t>[来源：GB/T 2900.99—2016,192-11-05]</w:t>
      </w:r>
    </w:p>
    <w:p w14:paraId="58C7BF15">
      <w:pPr>
        <w:pStyle w:val="223"/>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危害</w:t>
      </w:r>
      <w:r>
        <w:rPr>
          <w:rFonts w:hint="eastAsia" w:ascii="黑体" w:hAnsi="黑体" w:eastAsia="黑体"/>
          <w:lang w:val="en-US" w:eastAsia="zh-CN"/>
        </w:rPr>
        <w:t>性</w:t>
      </w:r>
      <w:r>
        <w:rPr>
          <w:rFonts w:hint="eastAsia" w:ascii="黑体" w:hAnsi="黑体" w:eastAsia="黑体"/>
        </w:rPr>
        <w:t>分析  criticality analysis</w:t>
      </w:r>
      <w:r>
        <w:rPr>
          <w:rFonts w:hint="eastAsia" w:ascii="黑体" w:hAnsi="黑体" w:eastAsia="黑体"/>
          <w:lang w:eastAsia="zh-CN"/>
        </w:rPr>
        <w:t>；</w:t>
      </w:r>
      <w:r>
        <w:rPr>
          <w:rFonts w:hint="eastAsia" w:ascii="黑体" w:hAnsi="黑体" w:eastAsia="黑体"/>
          <w:lang w:val="en-US" w:eastAsia="zh-CN"/>
        </w:rPr>
        <w:t>CA</w:t>
      </w:r>
    </w:p>
    <w:p w14:paraId="74450B36">
      <w:pPr>
        <w:pStyle w:val="56"/>
        <w:ind w:firstLine="420"/>
        <w:rPr>
          <w:rFonts w:hint="eastAsia"/>
        </w:rPr>
      </w:pPr>
      <w:r>
        <w:rPr>
          <w:rFonts w:hint="eastAsia"/>
        </w:rPr>
        <w:t>对产品中的每个</w:t>
      </w:r>
      <w:r>
        <w:rPr>
          <w:rFonts w:hint="eastAsia"/>
          <w:lang w:eastAsia="zh-CN"/>
        </w:rPr>
        <w:t>失效</w:t>
      </w:r>
      <w:r>
        <w:rPr>
          <w:rFonts w:hint="eastAsia"/>
        </w:rPr>
        <w:t>模式发生的概率及其危害程度所产生的综合影响进行分析，以全面评价产品各种可能出现的</w:t>
      </w:r>
      <w:r>
        <w:rPr>
          <w:rFonts w:hint="eastAsia"/>
          <w:lang w:eastAsia="zh-CN"/>
        </w:rPr>
        <w:t>失效</w:t>
      </w:r>
      <w:r>
        <w:rPr>
          <w:rFonts w:hint="eastAsia"/>
        </w:rPr>
        <w:t xml:space="preserve">模式的影响。 </w:t>
      </w:r>
    </w:p>
    <w:p w14:paraId="49DB86DB">
      <w:pPr>
        <w:pStyle w:val="56"/>
        <w:ind w:firstLine="420"/>
        <w:rPr>
          <w:rFonts w:hint="eastAsia"/>
          <w:lang w:val="en-US" w:eastAsia="zh-CN"/>
        </w:rPr>
      </w:pPr>
      <w:r>
        <w:rPr>
          <w:rFonts w:hint="eastAsia"/>
          <w:lang w:val="en-US" w:eastAsia="zh-CN"/>
        </w:rPr>
        <w:t>[</w:t>
      </w:r>
      <w:r>
        <w:rPr>
          <w:rFonts w:hint="eastAsia"/>
        </w:rPr>
        <w:t>来源：GJB/Z 1391—2006,3.1.8]</w:t>
      </w:r>
    </w:p>
    <w:p w14:paraId="720279BC">
      <w:pPr>
        <w:pStyle w:val="223"/>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lang w:val="en-US" w:eastAsia="zh-CN"/>
        </w:rPr>
        <w:t>失效</w:t>
      </w:r>
      <w:r>
        <w:rPr>
          <w:rFonts w:hint="eastAsia" w:ascii="黑体" w:hAnsi="黑体" w:eastAsia="黑体"/>
        </w:rPr>
        <w:t>模式、影响与</w:t>
      </w:r>
      <w:r>
        <w:rPr>
          <w:rFonts w:hint="eastAsia" w:ascii="黑体" w:hAnsi="黑体" w:eastAsia="黑体"/>
          <w:lang w:eastAsia="zh-CN"/>
        </w:rPr>
        <w:t>危害性</w:t>
      </w:r>
      <w:r>
        <w:rPr>
          <w:rFonts w:hint="eastAsia" w:ascii="黑体" w:hAnsi="黑体" w:eastAsia="黑体"/>
        </w:rPr>
        <w:t>分析  fault modes，effects and criticality analysis；FMECA</w:t>
      </w:r>
    </w:p>
    <w:p w14:paraId="781A21EF">
      <w:pPr>
        <w:pStyle w:val="56"/>
        <w:ind w:firstLine="420"/>
        <w:rPr>
          <w:rFonts w:hint="eastAsia"/>
          <w:lang w:val="en-US" w:eastAsia="zh-CN"/>
        </w:rPr>
      </w:pPr>
      <w:r>
        <w:rPr>
          <w:rFonts w:hint="eastAsia"/>
          <w:lang w:val="en-US" w:eastAsia="zh-CN"/>
        </w:rPr>
        <w:t xml:space="preserve">针对失效模式和影响分析，并考虑失效模式发生的概率和影响严重性的定量或定性分析方法。 </w:t>
      </w:r>
    </w:p>
    <w:p w14:paraId="0764A12D">
      <w:pPr>
        <w:pStyle w:val="56"/>
        <w:ind w:firstLine="420"/>
        <w:rPr>
          <w:rFonts w:hint="eastAsia"/>
          <w:lang w:val="en-US" w:eastAsia="zh-CN"/>
        </w:rPr>
      </w:pPr>
      <w:r>
        <w:rPr>
          <w:rFonts w:hint="eastAsia"/>
          <w:lang w:val="en-US" w:eastAsia="zh-CN"/>
        </w:rPr>
        <w:t>[来源：GB/T 2900.99—2016,192-11-06，有修改]</w:t>
      </w:r>
    </w:p>
    <w:p w14:paraId="77391BE4">
      <w:pPr>
        <w:pStyle w:val="56"/>
        <w:ind w:firstLine="420"/>
        <w:rPr>
          <w:highlight w:val="yellow"/>
        </w:rPr>
      </w:pPr>
    </w:p>
    <w:p w14:paraId="5C9F2262">
      <w:pPr>
        <w:pStyle w:val="104"/>
        <w:spacing w:before="240" w:after="240"/>
      </w:pPr>
      <w:bookmarkStart w:id="58" w:name="_Toc177558374"/>
      <w:bookmarkStart w:id="59" w:name="_Toc177558319"/>
      <w:r>
        <w:rPr>
          <w:rFonts w:hint="eastAsia"/>
        </w:rPr>
        <w:t>概述</w:t>
      </w:r>
      <w:bookmarkEnd w:id="58"/>
      <w:bookmarkEnd w:id="59"/>
    </w:p>
    <w:p w14:paraId="3A31B8FE">
      <w:pPr>
        <w:pStyle w:val="105"/>
        <w:spacing w:before="120" w:after="120"/>
      </w:pPr>
      <w:r>
        <w:rPr>
          <w:rFonts w:hint="eastAsia"/>
          <w:lang w:val="en-US" w:eastAsia="zh-CN"/>
        </w:rPr>
        <w:t>概述</w:t>
      </w:r>
    </w:p>
    <w:p w14:paraId="35A99413">
      <w:pPr>
        <w:pStyle w:val="56"/>
        <w:ind w:firstLine="420"/>
        <w:rPr>
          <w:rFonts w:hint="eastAsia"/>
        </w:rPr>
      </w:pPr>
      <w:r>
        <w:rPr>
          <w:rFonts w:hint="eastAsia"/>
        </w:rPr>
        <w:t>FMECA 由失效模式及影响分析(FMEA)、危害</w:t>
      </w:r>
      <w:r>
        <w:rPr>
          <w:rFonts w:hint="eastAsia"/>
          <w:lang w:val="en-US" w:eastAsia="zh-CN"/>
        </w:rPr>
        <w:t>性</w:t>
      </w:r>
      <w:r>
        <w:rPr>
          <w:rFonts w:hint="eastAsia"/>
        </w:rPr>
        <w:t>分析(CA)两部分组成。 FMEA是对产品进行分析，以识别潜在失效模式、失效原因及其对系统性能影响的系统化程序，CA是FMEA的扩展，目的是对产品中的每个失效模式发生的概率及其危害程度所产生的综合影响进行分析，以全面评价产品各种可能出现的失效模式的影响。只有在进行FMEA基础上，才能进行CA。针对设计对象的分析称 DFMECA,针对过程对象的分析称 PFMECA。</w:t>
      </w:r>
    </w:p>
    <w:p w14:paraId="16072BEF">
      <w:pPr>
        <w:pStyle w:val="56"/>
        <w:ind w:firstLine="420"/>
        <w:rPr>
          <w:rFonts w:hint="default"/>
          <w:lang w:val="en-US" w:eastAsia="zh-CN"/>
        </w:rPr>
      </w:pPr>
      <w:r>
        <w:rPr>
          <w:rFonts w:hint="eastAsia"/>
        </w:rPr>
        <w:t>本文件以</w:t>
      </w:r>
      <w:r>
        <w:rPr>
          <w:rFonts w:hint="eastAsia"/>
          <w:lang w:eastAsia="zh-CN"/>
        </w:rPr>
        <w:t>严重度</w:t>
      </w:r>
      <w:r>
        <w:rPr>
          <w:rFonts w:hint="eastAsia"/>
        </w:rPr>
        <w:t>(S)、发生概率(O)和可探测度(D)的乘积进行</w:t>
      </w:r>
      <w:r>
        <w:rPr>
          <w:rFonts w:hint="eastAsia"/>
          <w:lang w:eastAsia="zh-CN"/>
        </w:rPr>
        <w:t>危害性</w:t>
      </w:r>
      <w:r>
        <w:rPr>
          <w:rFonts w:hint="eastAsia"/>
        </w:rPr>
        <w:t>等级排序，和／或</w:t>
      </w:r>
      <w:r>
        <w:rPr>
          <w:rFonts w:hint="eastAsia"/>
          <w:lang w:eastAsia="zh-CN"/>
        </w:rPr>
        <w:t>严重度</w:t>
      </w:r>
      <w:r>
        <w:rPr>
          <w:rFonts w:hint="eastAsia"/>
        </w:rPr>
        <w:t>(S)和发生概率(O)的乘积数值／矩阵来做决策。</w:t>
      </w:r>
    </w:p>
    <w:p w14:paraId="26DE9133">
      <w:pPr>
        <w:pStyle w:val="105"/>
        <w:spacing w:before="120" w:after="120"/>
      </w:pPr>
      <w:r>
        <w:rPr>
          <w:rFonts w:hint="eastAsia"/>
          <w:lang w:val="en-US" w:eastAsia="zh-CN"/>
        </w:rPr>
        <w:t>分析目的</w:t>
      </w:r>
    </w:p>
    <w:p w14:paraId="7D6ECE52">
      <w:pPr>
        <w:pStyle w:val="56"/>
        <w:ind w:firstLine="420"/>
        <w:rPr>
          <w:rFonts w:hint="eastAsia"/>
        </w:rPr>
      </w:pPr>
      <w:bookmarkStart w:id="60" w:name="_Toc177558322"/>
      <w:bookmarkStart w:id="61" w:name="_Toc177558377"/>
      <w:r>
        <w:rPr>
          <w:rFonts w:hint="eastAsia"/>
          <w:lang w:val="en-US" w:eastAsia="zh-CN"/>
        </w:rPr>
        <w:t>FMECA（失效模式影响与危害性分析）的目的是通过系统化的分析，在产品设计或制造过程阶段提前识别可能存在的潜在失效模式，评估其影响及危害性程度，并采取对应的改进措施，以提升产品的可靠性。</w:t>
      </w:r>
    </w:p>
    <w:p w14:paraId="21B42511">
      <w:pPr>
        <w:pStyle w:val="105"/>
        <w:spacing w:before="120" w:after="120"/>
      </w:pPr>
      <w:r>
        <w:rPr>
          <w:rFonts w:hint="eastAsia"/>
          <w:lang w:val="en-US" w:eastAsia="zh-CN"/>
        </w:rPr>
        <w:t>分析流程</w:t>
      </w:r>
    </w:p>
    <w:p w14:paraId="70B2086B">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FMECA分析流程如下图1所示：</w:t>
      </w:r>
    </w:p>
    <w:p w14:paraId="7C6CC71D">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Times New Roman" w:eastAsia="宋体" w:cs="Times New Roman"/>
          <w:highlight w:val="none"/>
          <w:lang w:val="en-US" w:eastAsia="zh-CN"/>
        </w:rPr>
      </w:pPr>
    </w:p>
    <w:p w14:paraId="693599A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drawing>
          <wp:inline distT="0" distB="0" distL="114300" distR="114300">
            <wp:extent cx="5935345" cy="1989455"/>
            <wp:effectExtent l="0" t="0" r="8255" b="1270"/>
            <wp:docPr id="12" name="F360BE8B-6686-4F3D-AEAF-501FE73E4058-1" descr="FMECA_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360BE8B-6686-4F3D-AEAF-501FE73E4058-1" descr="FMECA_流程图"/>
                    <pic:cNvPicPr>
                      <a:picLocks noChangeAspect="1"/>
                    </pic:cNvPicPr>
                  </pic:nvPicPr>
                  <pic:blipFill>
                    <a:blip r:embed="rId23"/>
                    <a:stretch>
                      <a:fillRect/>
                    </a:stretch>
                  </pic:blipFill>
                  <pic:spPr>
                    <a:xfrm>
                      <a:off x="0" y="0"/>
                      <a:ext cx="5935345" cy="1989455"/>
                    </a:xfrm>
                    <a:prstGeom prst="rect">
                      <a:avLst/>
                    </a:prstGeom>
                  </pic:spPr>
                </pic:pic>
              </a:graphicData>
            </a:graphic>
          </wp:inline>
        </w:drawing>
      </w:r>
    </w:p>
    <w:p w14:paraId="53A9F045">
      <w:pPr>
        <w:autoSpaceDE w:val="0"/>
        <w:autoSpaceDN w:val="0"/>
        <w:ind w:firstLine="420" w:firstLineChars="200"/>
        <w:jc w:val="center"/>
        <w:rPr>
          <w:rFonts w:ascii="宋体" w:hAnsi="Times New Roman" w:eastAsia="宋体" w:cs="Times New Roman"/>
        </w:rPr>
      </w:pPr>
      <w:r>
        <w:rPr>
          <w:rFonts w:hint="eastAsia" w:ascii="宋体" w:hAnsi="Times New Roman" w:eastAsia="宋体" w:cs="Times New Roman"/>
          <w:highlight w:val="none"/>
          <w:lang w:val="en-US" w:eastAsia="zh-CN"/>
        </w:rPr>
        <w:t>图1  FMECA分析流程</w:t>
      </w:r>
    </w:p>
    <w:p w14:paraId="64009001">
      <w:pPr>
        <w:pStyle w:val="56"/>
      </w:pPr>
    </w:p>
    <w:p w14:paraId="535629D9">
      <w:pPr>
        <w:pStyle w:val="105"/>
        <w:spacing w:before="120" w:after="120"/>
      </w:pPr>
      <w:r>
        <w:rPr>
          <w:rFonts w:hint="eastAsia"/>
        </w:rPr>
        <w:t>FMECA人员及计划性</w:t>
      </w:r>
      <w:bookmarkEnd w:id="60"/>
      <w:bookmarkEnd w:id="61"/>
    </w:p>
    <w:p w14:paraId="5BFA1E94">
      <w:pPr>
        <w:pStyle w:val="65"/>
        <w:spacing w:before="120" w:after="120"/>
      </w:pPr>
      <w:bookmarkStart w:id="62" w:name="_Toc177558323"/>
      <w:r>
        <w:rPr>
          <w:rFonts w:hint="eastAsia"/>
        </w:rPr>
        <w:t>FMECA人员</w:t>
      </w:r>
      <w:bookmarkEnd w:id="62"/>
    </w:p>
    <w:p w14:paraId="763C28EC">
      <w:pPr>
        <w:pStyle w:val="56"/>
        <w:ind w:left="0" w:leftChars="0" w:firstLine="420" w:firstLineChars="0"/>
        <w:rPr>
          <w:rFonts w:hint="eastAsia"/>
        </w:rPr>
      </w:pPr>
      <w:r>
        <w:rPr>
          <w:rFonts w:hint="eastAsia"/>
        </w:rPr>
        <w:t>FMECA工作应有具体人员主导完成。可参考以下原则安排其他人员参与FMECA过程：</w:t>
      </w:r>
    </w:p>
    <w:p w14:paraId="0C7FB20F">
      <w:pPr>
        <w:pStyle w:val="56"/>
        <w:numPr>
          <w:ilvl w:val="4"/>
          <w:numId w:val="26"/>
        </w:numPr>
        <w:ind w:left="726" w:leftChars="0" w:hanging="363" w:firstLineChars="0"/>
        <w:rPr>
          <w:rFonts w:hint="eastAsia"/>
        </w:rPr>
      </w:pPr>
      <w:r>
        <w:rPr>
          <w:rFonts w:hint="eastAsia"/>
        </w:rPr>
        <w:t>应在FMECA管理计划中规定FMECA工作</w:t>
      </w:r>
      <w:r>
        <w:rPr>
          <w:rFonts w:hint="eastAsia"/>
          <w:lang w:val="en-US" w:eastAsia="zh-CN"/>
        </w:rPr>
        <w:t>主导人员和</w:t>
      </w:r>
      <w:r>
        <w:rPr>
          <w:rFonts w:hint="eastAsia"/>
        </w:rPr>
        <w:t>参与人员；</w:t>
      </w:r>
    </w:p>
    <w:p w14:paraId="226B78AA">
      <w:pPr>
        <w:pStyle w:val="56"/>
        <w:numPr>
          <w:ilvl w:val="4"/>
          <w:numId w:val="26"/>
        </w:numPr>
        <w:ind w:left="726" w:leftChars="0" w:hanging="363" w:firstLineChars="0"/>
        <w:rPr>
          <w:rFonts w:hint="eastAsia"/>
        </w:rPr>
      </w:pPr>
      <w:r>
        <w:rPr>
          <w:rFonts w:hint="eastAsia"/>
        </w:rPr>
        <w:t>参与FMECA分析的人员尽量由涵盖有源医疗器械相关的多学科专业知识的跨职能部门成员组成，包括掌握专业知识、掌握FMECA方法等人员；</w:t>
      </w:r>
    </w:p>
    <w:p w14:paraId="28571B6A">
      <w:pPr>
        <w:pStyle w:val="56"/>
        <w:numPr>
          <w:ilvl w:val="4"/>
          <w:numId w:val="26"/>
        </w:numPr>
        <w:ind w:left="726" w:leftChars="0" w:hanging="363" w:firstLineChars="0"/>
        <w:rPr>
          <w:rFonts w:hint="eastAsia"/>
        </w:rPr>
      </w:pPr>
      <w:r>
        <w:rPr>
          <w:rFonts w:hint="eastAsia"/>
        </w:rPr>
        <w:t>DFMECA建议至少由以下职能人员参与：研发、测试、质量、可靠性等；</w:t>
      </w:r>
    </w:p>
    <w:p w14:paraId="5B24E66C">
      <w:pPr>
        <w:pStyle w:val="56"/>
        <w:numPr>
          <w:ilvl w:val="4"/>
          <w:numId w:val="26"/>
        </w:numPr>
        <w:ind w:left="726" w:leftChars="0" w:hanging="363" w:firstLineChars="0"/>
        <w:rPr>
          <w:rFonts w:hint="eastAsia"/>
        </w:rPr>
      </w:pPr>
      <w:r>
        <w:rPr>
          <w:rFonts w:hint="eastAsia"/>
        </w:rPr>
        <w:t>PFMECA建议至少由以下职能人员参与：制造／工艺、质量、可靠性、研发等；</w:t>
      </w:r>
    </w:p>
    <w:p w14:paraId="16531400">
      <w:pPr>
        <w:pStyle w:val="56"/>
        <w:numPr>
          <w:ilvl w:val="4"/>
          <w:numId w:val="26"/>
        </w:numPr>
        <w:ind w:left="726" w:leftChars="0" w:hanging="363" w:firstLineChars="0"/>
        <w:rPr>
          <w:rFonts w:hint="eastAsia"/>
        </w:rPr>
      </w:pPr>
      <w:r>
        <w:rPr>
          <w:rFonts w:hint="eastAsia"/>
        </w:rPr>
        <w:t>根据FMECA开展的需要，可邀请其他职能人员参与分析过程，如风险分析、临床应用等。</w:t>
      </w:r>
    </w:p>
    <w:p w14:paraId="42849A28">
      <w:pPr>
        <w:pStyle w:val="65"/>
        <w:spacing w:before="120" w:after="120"/>
      </w:pPr>
      <w:bookmarkStart w:id="63" w:name="_Toc177558324"/>
      <w:r>
        <w:rPr>
          <w:rFonts w:hint="eastAsia"/>
        </w:rPr>
        <w:t>FMECA计划性</w:t>
      </w:r>
      <w:bookmarkEnd w:id="63"/>
    </w:p>
    <w:p w14:paraId="7EA17DEC">
      <w:pPr>
        <w:pStyle w:val="56"/>
        <w:ind w:firstLine="420"/>
      </w:pPr>
      <w:r>
        <w:rPr>
          <w:rFonts w:hint="eastAsia"/>
        </w:rPr>
        <w:t>FMECA</w:t>
      </w:r>
      <w:r>
        <w:t xml:space="preserve"> </w:t>
      </w:r>
      <w:r>
        <w:rPr>
          <w:rFonts w:hint="eastAsia"/>
        </w:rPr>
        <w:t>工作开展计划应注意以下几点：</w:t>
      </w:r>
    </w:p>
    <w:p w14:paraId="2CBFE0E7">
      <w:pPr>
        <w:pStyle w:val="56"/>
        <w:numPr>
          <w:ilvl w:val="4"/>
          <w:numId w:val="32"/>
        </w:numPr>
        <w:tabs>
          <w:tab w:val="left" w:pos="1140"/>
        </w:tabs>
        <w:ind w:left="726" w:leftChars="0" w:hanging="363" w:firstLineChars="0"/>
        <w:rPr>
          <w:rFonts w:hint="eastAsia"/>
        </w:rPr>
      </w:pPr>
      <w:r>
        <w:rPr>
          <w:rFonts w:hint="eastAsia"/>
        </w:rPr>
        <w:t>应事先制定相应的管理计划来保证 FMECA 工作的开展；</w:t>
      </w:r>
    </w:p>
    <w:p w14:paraId="03429DA0">
      <w:pPr>
        <w:pStyle w:val="56"/>
        <w:numPr>
          <w:ilvl w:val="4"/>
          <w:numId w:val="32"/>
        </w:numPr>
        <w:tabs>
          <w:tab w:val="left" w:pos="1140"/>
        </w:tabs>
        <w:ind w:left="726" w:leftChars="0" w:hanging="363" w:firstLineChars="0"/>
        <w:rPr>
          <w:rFonts w:hint="eastAsia"/>
        </w:rPr>
      </w:pPr>
      <w:r>
        <w:rPr>
          <w:rFonts w:hint="eastAsia"/>
        </w:rPr>
        <w:t>计划中应至少体现 FMECA 时间节点、参与人员、 FMECA 评审、跟踪管理（例如补偿措施的落实情况）等信息；</w:t>
      </w:r>
    </w:p>
    <w:p w14:paraId="07E90B66">
      <w:pPr>
        <w:pStyle w:val="56"/>
        <w:numPr>
          <w:ilvl w:val="4"/>
          <w:numId w:val="32"/>
        </w:numPr>
        <w:tabs>
          <w:tab w:val="left" w:pos="1140"/>
        </w:tabs>
        <w:ind w:left="726" w:leftChars="0" w:hanging="363" w:firstLineChars="0"/>
        <w:rPr>
          <w:rFonts w:hint="eastAsia"/>
        </w:rPr>
      </w:pPr>
      <w:r>
        <w:rPr>
          <w:rFonts w:hint="eastAsia"/>
        </w:rPr>
        <w:t>FMECA 活动的开展应与项目进度相协调，确保分析及时进行。</w:t>
      </w:r>
    </w:p>
    <w:p w14:paraId="31EEA233">
      <w:pPr>
        <w:pStyle w:val="104"/>
        <w:spacing w:before="240" w:after="240"/>
      </w:pPr>
      <w:bookmarkStart w:id="64" w:name="_Toc177558325"/>
      <w:bookmarkStart w:id="65" w:name="_Toc177558378"/>
      <w:r>
        <w:rPr>
          <w:rFonts w:hint="eastAsia"/>
        </w:rPr>
        <w:t>D</w:t>
      </w:r>
      <w:r>
        <w:t>FMECA</w:t>
      </w:r>
      <w:bookmarkEnd w:id="64"/>
      <w:bookmarkEnd w:id="65"/>
    </w:p>
    <w:p w14:paraId="5CF6DBCD">
      <w:pPr>
        <w:pStyle w:val="105"/>
        <w:spacing w:before="120" w:after="120"/>
      </w:pPr>
      <w:bookmarkStart w:id="66" w:name="_Toc177558326"/>
      <w:bookmarkStart w:id="67" w:name="_Toc177558379"/>
      <w:r>
        <w:rPr>
          <w:rFonts w:hint="eastAsia"/>
        </w:rPr>
        <w:t>待分析对象定义</w:t>
      </w:r>
      <w:bookmarkEnd w:id="66"/>
      <w:bookmarkEnd w:id="67"/>
    </w:p>
    <w:p w14:paraId="22BDC52F">
      <w:pPr>
        <w:pStyle w:val="56"/>
        <w:ind w:firstLine="420"/>
      </w:pPr>
      <w:r>
        <w:rPr>
          <w:rFonts w:hint="eastAsia"/>
        </w:rPr>
        <w:t>DFMECA</w:t>
      </w:r>
      <w:r>
        <w:t xml:space="preserve"> </w:t>
      </w:r>
      <w:r>
        <w:rPr>
          <w:rFonts w:hint="eastAsia"/>
        </w:rPr>
        <w:t>工作需要团队成员协同完成。分析前，可由系统工程师或 DFMECA</w:t>
      </w:r>
      <w:r>
        <w:t xml:space="preserve"> </w:t>
      </w:r>
      <w:r>
        <w:rPr>
          <w:rFonts w:hint="eastAsia"/>
        </w:rPr>
        <w:t>工作负责人完成待分析对象定义，以提升 DFMECA</w:t>
      </w:r>
      <w:r>
        <w:t xml:space="preserve"> </w:t>
      </w:r>
      <w:r>
        <w:rPr>
          <w:rFonts w:hint="eastAsia"/>
        </w:rPr>
        <w:t>过程的效率。</w:t>
      </w:r>
    </w:p>
    <w:p w14:paraId="66F6788E">
      <w:pPr>
        <w:pStyle w:val="56"/>
        <w:ind w:firstLine="420"/>
      </w:pPr>
      <w:r>
        <w:rPr>
          <w:rFonts w:hint="eastAsia"/>
        </w:rPr>
        <w:t>待分析对象定义的主要工作：</w:t>
      </w:r>
    </w:p>
    <w:p w14:paraId="2DA7ED50">
      <w:pPr>
        <w:pStyle w:val="56"/>
        <w:numPr>
          <w:ilvl w:val="0"/>
          <w:numId w:val="33"/>
        </w:numPr>
        <w:ind w:firstLineChars="0"/>
      </w:pPr>
      <w:r>
        <w:rPr>
          <w:rFonts w:hint="eastAsia"/>
        </w:rPr>
        <w:t>明确待分析产品；</w:t>
      </w:r>
    </w:p>
    <w:p w14:paraId="05467BF4">
      <w:pPr>
        <w:pStyle w:val="56"/>
        <w:numPr>
          <w:ilvl w:val="0"/>
          <w:numId w:val="33"/>
        </w:numPr>
        <w:ind w:firstLineChars="0"/>
      </w:pPr>
      <w:r>
        <w:rPr>
          <w:rFonts w:hint="eastAsia"/>
        </w:rPr>
        <w:t>对待分析产品进行功能描述。有源医疗器械示例可参考附录 A 。</w:t>
      </w:r>
    </w:p>
    <w:p w14:paraId="5DC212A9">
      <w:pPr>
        <w:pStyle w:val="65"/>
        <w:spacing w:before="120" w:after="120"/>
      </w:pPr>
      <w:bookmarkStart w:id="68" w:name="_Toc177558327"/>
      <w:r>
        <w:rPr>
          <w:rFonts w:hint="eastAsia"/>
        </w:rPr>
        <w:t>明确待分析对象</w:t>
      </w:r>
      <w:bookmarkEnd w:id="68"/>
    </w:p>
    <w:p w14:paraId="4ADC452C">
      <w:pPr>
        <w:pStyle w:val="56"/>
        <w:ind w:firstLine="420"/>
        <w:rPr>
          <w:rFonts w:hint="eastAsia"/>
          <w:lang w:val="en-US" w:eastAsia="zh-CN"/>
        </w:rPr>
      </w:pPr>
      <w:r>
        <w:rPr>
          <w:rFonts w:hint="eastAsia"/>
        </w:rPr>
        <w:t>明确待分析对象首先要明确对哪些元器件、部件、子系统、系统等进行分析。</w:t>
      </w:r>
      <w:r>
        <w:rPr>
          <w:rFonts w:hint="default"/>
          <w:lang w:val="en-US" w:eastAsia="zh-CN"/>
        </w:rPr>
        <w:t>对于导致可靠性水平低或可靠性后果严重的部分，宜从以下几点重点考虑</w:t>
      </w:r>
      <w:r>
        <w:rPr>
          <w:rFonts w:hint="eastAsia"/>
          <w:lang w:val="en-US" w:eastAsia="zh-CN"/>
        </w:rPr>
        <w:t>：</w:t>
      </w:r>
    </w:p>
    <w:p w14:paraId="23D8E638">
      <w:pPr>
        <w:pStyle w:val="56"/>
        <w:numPr>
          <w:ilvl w:val="0"/>
          <w:numId w:val="34"/>
        </w:numPr>
        <w:ind w:firstLineChars="0"/>
        <w:rPr>
          <w:rFonts w:hint="eastAsia"/>
        </w:rPr>
      </w:pPr>
      <w:r>
        <w:rPr>
          <w:rFonts w:hint="eastAsia"/>
          <w:lang w:val="en-US" w:eastAsia="zh-CN"/>
        </w:rPr>
        <w:t>新设计或变更的；</w:t>
      </w:r>
    </w:p>
    <w:p w14:paraId="07390518">
      <w:pPr>
        <w:pStyle w:val="56"/>
        <w:numPr>
          <w:ilvl w:val="0"/>
          <w:numId w:val="34"/>
        </w:numPr>
        <w:ind w:firstLineChars="0"/>
        <w:rPr>
          <w:rFonts w:hint="eastAsia"/>
        </w:rPr>
      </w:pPr>
      <w:r>
        <w:rPr>
          <w:rFonts w:hint="eastAsia"/>
        </w:rPr>
        <w:t>与影响基本安全和基本性能的高风险问题相关的</w:t>
      </w:r>
      <w:r>
        <w:rPr>
          <w:rFonts w:hint="eastAsia"/>
          <w:lang w:eastAsia="zh-CN"/>
        </w:rPr>
        <w:t>；</w:t>
      </w:r>
    </w:p>
    <w:p w14:paraId="4C61C6A0">
      <w:pPr>
        <w:pStyle w:val="56"/>
        <w:numPr>
          <w:ilvl w:val="0"/>
          <w:numId w:val="34"/>
        </w:numPr>
        <w:ind w:firstLineChars="0"/>
        <w:rPr>
          <w:rFonts w:hint="default"/>
          <w:lang w:val="en-US" w:eastAsia="zh-CN"/>
        </w:rPr>
      </w:pPr>
      <w:r>
        <w:rPr>
          <w:rFonts w:hint="eastAsia"/>
          <w:lang w:val="en-US" w:eastAsia="zh-CN"/>
        </w:rPr>
        <w:t>已有数据表明</w:t>
      </w:r>
      <w:r>
        <w:rPr>
          <w:rFonts w:hint="eastAsia"/>
        </w:rPr>
        <w:t>可靠性</w:t>
      </w:r>
      <w:r>
        <w:rPr>
          <w:rFonts w:hint="eastAsia"/>
          <w:lang w:val="en-US" w:eastAsia="zh-CN"/>
        </w:rPr>
        <w:t>水平</w:t>
      </w:r>
      <w:r>
        <w:rPr>
          <w:rFonts w:hint="eastAsia"/>
        </w:rPr>
        <w:t>低</w:t>
      </w:r>
      <w:r>
        <w:rPr>
          <w:rFonts w:hint="eastAsia"/>
          <w:lang w:eastAsia="zh-CN"/>
        </w:rPr>
        <w:t>的，</w:t>
      </w:r>
      <w:r>
        <w:rPr>
          <w:rFonts w:hint="eastAsia"/>
          <w:lang w:val="en-US" w:eastAsia="zh-CN"/>
        </w:rPr>
        <w:t>如历史</w:t>
      </w:r>
      <w:r>
        <w:rPr>
          <w:rFonts w:hint="eastAsia"/>
        </w:rPr>
        <w:t>数据</w:t>
      </w:r>
      <w:r>
        <w:rPr>
          <w:rFonts w:hint="eastAsia"/>
          <w:lang w:eastAsia="zh-CN"/>
        </w:rPr>
        <w:t>、</w:t>
      </w:r>
      <w:r>
        <w:rPr>
          <w:rFonts w:hint="eastAsia"/>
          <w:lang w:val="en-US" w:eastAsia="zh-CN"/>
        </w:rPr>
        <w:t>试验数据等；</w:t>
      </w:r>
    </w:p>
    <w:p w14:paraId="29E07442">
      <w:pPr>
        <w:pStyle w:val="56"/>
        <w:numPr>
          <w:ilvl w:val="0"/>
          <w:numId w:val="34"/>
        </w:numPr>
        <w:ind w:firstLineChars="0"/>
        <w:rPr>
          <w:rFonts w:hint="default"/>
          <w:lang w:val="en-US" w:eastAsia="zh-CN"/>
        </w:rPr>
      </w:pPr>
      <w:r>
        <w:rPr>
          <w:rFonts w:hint="eastAsia"/>
          <w:lang w:val="en-US" w:eastAsia="zh-CN"/>
        </w:rPr>
        <w:t>制造商分析出的其他高风险点。</w:t>
      </w:r>
    </w:p>
    <w:p w14:paraId="3F22D77D">
      <w:pPr>
        <w:pStyle w:val="65"/>
        <w:spacing w:before="120" w:after="120"/>
      </w:pPr>
      <w:bookmarkStart w:id="69" w:name="_Toc177558328"/>
      <w:r>
        <w:rPr>
          <w:rFonts w:hint="eastAsia"/>
        </w:rPr>
        <w:t>功能分析</w:t>
      </w:r>
      <w:bookmarkEnd w:id="69"/>
    </w:p>
    <w:p w14:paraId="644784AE">
      <w:pPr>
        <w:pStyle w:val="56"/>
        <w:ind w:firstLine="420"/>
      </w:pPr>
      <w:r>
        <w:rPr>
          <w:rFonts w:hint="eastAsia"/>
        </w:rPr>
        <w:t>功能分析前，如有必要需先进行结构分析。特别是针对结构较为复杂的待分析对象，如有需要可以将产品进一步按照系统、子系统、部件、元器件等层级将已明确的分析对象分解成更基本的要素。分解结果可采用功能方框图、结构树等方式呈现。</w:t>
      </w:r>
    </w:p>
    <w:p w14:paraId="129E4101">
      <w:pPr>
        <w:pStyle w:val="56"/>
        <w:ind w:firstLine="420"/>
      </w:pPr>
      <w:r>
        <w:rPr>
          <w:rFonts w:hint="eastAsia"/>
        </w:rPr>
        <w:t>功能分析主要是根据结构分析的结果，将待分析对象的功能分配给产品的各组成部分，进而将产品功能或者更低层级的功能跟该产品或更低层级的组成部件相关联。</w:t>
      </w:r>
    </w:p>
    <w:p w14:paraId="54CDCCBC">
      <w:pPr>
        <w:pStyle w:val="180"/>
      </w:pPr>
      <w:r>
        <w:rPr>
          <w:rFonts w:hint="eastAsia"/>
        </w:rPr>
        <w:t>功能方框图：用框图的形式来表达系统原理，它的作用在于能够清晰地表示系统各组成部分所承担的功能之间的相互关系及功能逻辑顺序。</w:t>
      </w:r>
    </w:p>
    <w:p w14:paraId="066D07F7">
      <w:pPr>
        <w:pStyle w:val="180"/>
        <w:jc w:val="left"/>
      </w:pPr>
      <w:r>
        <w:rPr>
          <w:spacing w:val="13"/>
        </w:rPr>
        <w:t>结构树：根据产品的层次关系，将产品元器件、部件</w:t>
      </w:r>
      <w:r>
        <w:t>、子系统等按照一定的层级关系组织起来。它可以清晰地描</w:t>
      </w:r>
      <w:r>
        <w:rPr>
          <w:spacing w:val="11"/>
        </w:rPr>
        <w:t>述产品各个元器件、部件、子系统等之间的依赖关系。</w:t>
      </w:r>
    </w:p>
    <w:p w14:paraId="43A11FCC">
      <w:pPr>
        <w:pStyle w:val="105"/>
        <w:spacing w:before="120" w:after="120"/>
      </w:pPr>
      <w:bookmarkStart w:id="70" w:name="_Toc177558329"/>
      <w:bookmarkStart w:id="71" w:name="_Toc177558380"/>
      <w:r>
        <w:rPr>
          <w:rFonts w:hint="eastAsia"/>
        </w:rPr>
        <w:t>DFMECA过程</w:t>
      </w:r>
      <w:bookmarkEnd w:id="70"/>
      <w:bookmarkEnd w:id="71"/>
    </w:p>
    <w:p w14:paraId="156BC188">
      <w:pPr>
        <w:pStyle w:val="56"/>
        <w:ind w:firstLine="420"/>
        <w:rPr>
          <w:rFonts w:hint="eastAsia"/>
        </w:rPr>
      </w:pPr>
      <w:r>
        <w:rPr>
          <w:rFonts w:hint="eastAsia"/>
        </w:rPr>
        <w:t>DFMECA</w:t>
      </w:r>
      <w:r>
        <w:t xml:space="preserve"> </w:t>
      </w:r>
      <w:r>
        <w:rPr>
          <w:rFonts w:hint="eastAsia"/>
        </w:rPr>
        <w:t>分析主要是对设计进行失效模式识别、失效原因及失效影响分析，并根据分析结果进行</w:t>
      </w:r>
      <w:r>
        <w:rPr>
          <w:rFonts w:hint="eastAsia"/>
          <w:lang w:eastAsia="zh-CN"/>
        </w:rPr>
        <w:t>危害性</w:t>
      </w:r>
      <w:r>
        <w:rPr>
          <w:rFonts w:hint="eastAsia"/>
        </w:rPr>
        <w:t>评估。 DFMECA</w:t>
      </w:r>
      <w:r>
        <w:t xml:space="preserve"> </w:t>
      </w:r>
      <w:r>
        <w:rPr>
          <w:rFonts w:hint="eastAsia"/>
        </w:rPr>
        <w:t>过程主要包括以下几个步骤。每个步骤和实际工作的结合可参考附录 A。</w:t>
      </w:r>
    </w:p>
    <w:p w14:paraId="1950F973">
      <w:pPr>
        <w:pStyle w:val="56"/>
        <w:ind w:firstLine="420"/>
        <w:rPr>
          <w:rFonts w:hint="eastAsia"/>
        </w:rPr>
      </w:pPr>
    </w:p>
    <w:p w14:paraId="63513533">
      <w:pPr>
        <w:pStyle w:val="65"/>
        <w:spacing w:before="120" w:after="120"/>
      </w:pPr>
      <w:bookmarkStart w:id="72" w:name="_Toc177558330"/>
      <w:r>
        <w:rPr>
          <w:rFonts w:hint="eastAsia"/>
        </w:rPr>
        <w:t>失效模式识别</w:t>
      </w:r>
      <w:bookmarkEnd w:id="72"/>
    </w:p>
    <w:p w14:paraId="04C5FE25">
      <w:pPr>
        <w:pStyle w:val="56"/>
        <w:ind w:firstLine="420"/>
      </w:pPr>
      <w:r>
        <w:rPr>
          <w:rFonts w:hint="eastAsia"/>
        </w:rPr>
        <w:t>失效是指产品无法满足或提供预期功能，而失效模式是失效的表现形式。失效模式是指依据5.1.2功能分析结果判定的待分析对象部分或全部功能丧失或劣化的表现形式。产品具有多种功能时，应找出该产品每个功能的全部可能的失效模式。功能失效的描述可以从以下几方面考虑，但不限于：</w:t>
      </w:r>
    </w:p>
    <w:p w14:paraId="23616329">
      <w:pPr>
        <w:pStyle w:val="56"/>
        <w:numPr>
          <w:ilvl w:val="0"/>
          <w:numId w:val="35"/>
        </w:numPr>
        <w:ind w:firstLineChars="0"/>
      </w:pPr>
      <w:r>
        <w:rPr>
          <w:rFonts w:hint="eastAsia"/>
        </w:rPr>
        <w:t>功能丧失（即无法工作）；</w:t>
      </w:r>
    </w:p>
    <w:p w14:paraId="10BEA818">
      <w:pPr>
        <w:pStyle w:val="56"/>
        <w:numPr>
          <w:ilvl w:val="0"/>
          <w:numId w:val="35"/>
        </w:numPr>
        <w:ind w:firstLineChars="0"/>
      </w:pPr>
      <w:r>
        <w:rPr>
          <w:rFonts w:hint="eastAsia"/>
        </w:rPr>
        <w:t>功能不足（即性能损失）；</w:t>
      </w:r>
    </w:p>
    <w:p w14:paraId="1BB9C271">
      <w:pPr>
        <w:pStyle w:val="56"/>
        <w:numPr>
          <w:ilvl w:val="0"/>
          <w:numId w:val="35"/>
        </w:numPr>
        <w:ind w:firstLineChars="0"/>
      </w:pPr>
      <w:r>
        <w:rPr>
          <w:rFonts w:hint="eastAsia"/>
        </w:rPr>
        <w:t>超出功能（即操作超过可接受的阈值）；</w:t>
      </w:r>
    </w:p>
    <w:p w14:paraId="24458F87">
      <w:pPr>
        <w:pStyle w:val="56"/>
        <w:numPr>
          <w:ilvl w:val="0"/>
          <w:numId w:val="35"/>
        </w:numPr>
        <w:ind w:firstLineChars="0"/>
      </w:pPr>
      <w:r>
        <w:rPr>
          <w:rFonts w:hint="eastAsia"/>
        </w:rPr>
        <w:t>功能退化（即随着时间的推移性能下降）；</w:t>
      </w:r>
    </w:p>
    <w:p w14:paraId="6D21E702">
      <w:pPr>
        <w:pStyle w:val="56"/>
        <w:numPr>
          <w:ilvl w:val="0"/>
          <w:numId w:val="35"/>
        </w:numPr>
        <w:ind w:firstLineChars="0"/>
      </w:pPr>
      <w:r>
        <w:rPr>
          <w:rFonts w:hint="eastAsia"/>
        </w:rPr>
        <w:t>功能异常（即非预期功能）；</w:t>
      </w:r>
    </w:p>
    <w:p w14:paraId="1F481A5B">
      <w:pPr>
        <w:pStyle w:val="56"/>
        <w:numPr>
          <w:ilvl w:val="0"/>
          <w:numId w:val="35"/>
        </w:numPr>
        <w:ind w:firstLineChars="0"/>
      </w:pPr>
      <w:r>
        <w:rPr>
          <w:rFonts w:hint="eastAsia"/>
        </w:rPr>
        <w:t>功能延迟（即在非预期的时间间隔后操作）等。</w:t>
      </w:r>
    </w:p>
    <w:p w14:paraId="73D0D6EF">
      <w:pPr>
        <w:pStyle w:val="65"/>
        <w:spacing w:before="120" w:after="120"/>
      </w:pPr>
      <w:bookmarkStart w:id="73" w:name="_Toc177558331"/>
      <w:r>
        <w:rPr>
          <w:rFonts w:hint="eastAsia"/>
        </w:rPr>
        <w:t>失效原因分析</w:t>
      </w:r>
      <w:bookmarkEnd w:id="73"/>
    </w:p>
    <w:p w14:paraId="2F1B2227">
      <w:pPr>
        <w:pStyle w:val="56"/>
        <w:ind w:firstLine="420"/>
      </w:pPr>
      <w:r>
        <w:rPr>
          <w:rFonts w:hint="eastAsia"/>
        </w:rPr>
        <w:t>失效原因指导致失效模式出现的原因。一种失效模式可能有一种以上的失效原因，需分别展开。失效原因尽可能详述，详细的失效原因描述有利于精确的制定检测方法和补偿措施。常见的失效原因可从如下几个方面进行分析，但不局限于：</w:t>
      </w:r>
    </w:p>
    <w:p w14:paraId="0FA3DE99">
      <w:pPr>
        <w:pStyle w:val="56"/>
        <w:numPr>
          <w:ilvl w:val="0"/>
          <w:numId w:val="36"/>
        </w:numPr>
        <w:ind w:firstLineChars="0"/>
      </w:pPr>
      <w:r>
        <w:rPr>
          <w:rFonts w:hint="eastAsia"/>
        </w:rPr>
        <w:t>材料、结构、公差等设计问题；</w:t>
      </w:r>
    </w:p>
    <w:p w14:paraId="06EA660D">
      <w:pPr>
        <w:pStyle w:val="56"/>
        <w:numPr>
          <w:ilvl w:val="0"/>
          <w:numId w:val="36"/>
        </w:numPr>
        <w:ind w:firstLineChars="0"/>
      </w:pPr>
      <w:r>
        <w:rPr>
          <w:rFonts w:hint="eastAsia"/>
        </w:rPr>
        <w:t>软件问题（如：未定义的状态、不完整的数据、算法不正确</w:t>
      </w:r>
      <w:r>
        <w:rPr>
          <w:rFonts w:hint="eastAsia"/>
          <w:lang w:eastAsia="zh-CN"/>
        </w:rPr>
        <w:t>、</w:t>
      </w:r>
      <w:r>
        <w:rPr>
          <w:rFonts w:hint="eastAsia"/>
          <w:lang w:val="en-US" w:eastAsia="zh-CN"/>
        </w:rPr>
        <w:t>网络安全漏洞、软件兼容性</w:t>
      </w:r>
      <w:r>
        <w:rPr>
          <w:rFonts w:hint="eastAsia"/>
        </w:rPr>
        <w:t>等）；</w:t>
      </w:r>
    </w:p>
    <w:p w14:paraId="179ED33A">
      <w:pPr>
        <w:pStyle w:val="56"/>
        <w:numPr>
          <w:ilvl w:val="0"/>
          <w:numId w:val="36"/>
        </w:numPr>
        <w:ind w:firstLineChars="0"/>
      </w:pPr>
      <w:r>
        <w:rPr>
          <w:rFonts w:hint="eastAsia"/>
        </w:rPr>
        <w:t>系统交互问题（如：接口、反馈等）；</w:t>
      </w:r>
    </w:p>
    <w:p w14:paraId="4186A046">
      <w:pPr>
        <w:pStyle w:val="56"/>
        <w:numPr>
          <w:ilvl w:val="0"/>
          <w:numId w:val="36"/>
        </w:numPr>
        <w:ind w:firstLineChars="0"/>
      </w:pPr>
      <w:r>
        <w:rPr>
          <w:rFonts w:hint="eastAsia"/>
        </w:rPr>
        <w:t>随时间变化问题（如：疲劳、磨损、腐蚀、设计寿命不足等）；</w:t>
      </w:r>
    </w:p>
    <w:p w14:paraId="12D0BBDF">
      <w:pPr>
        <w:pStyle w:val="56"/>
        <w:numPr>
          <w:ilvl w:val="0"/>
          <w:numId w:val="36"/>
        </w:numPr>
        <w:ind w:firstLineChars="0"/>
      </w:pPr>
      <w:r>
        <w:rPr>
          <w:rFonts w:hint="eastAsia"/>
        </w:rPr>
        <w:t>外部环境（如：温度、湿度、气压、盐雾、振动</w:t>
      </w:r>
      <w:r>
        <w:rPr>
          <w:rFonts w:hint="eastAsia"/>
          <w:lang w:eastAsia="zh-CN"/>
        </w:rPr>
        <w:t>、</w:t>
      </w:r>
      <w:r>
        <w:rPr>
          <w:rFonts w:hint="eastAsia"/>
          <w:lang w:val="en-US" w:eastAsia="zh-CN"/>
        </w:rPr>
        <w:t>设备串扰</w:t>
      </w:r>
      <w:r>
        <w:rPr>
          <w:rFonts w:hint="eastAsia"/>
        </w:rPr>
        <w:t>等）；</w:t>
      </w:r>
    </w:p>
    <w:p w14:paraId="2D1E7A41">
      <w:pPr>
        <w:pStyle w:val="56"/>
        <w:numPr>
          <w:ilvl w:val="0"/>
          <w:numId w:val="36"/>
        </w:numPr>
        <w:ind w:firstLineChars="0"/>
      </w:pPr>
      <w:r>
        <w:rPr>
          <w:rFonts w:hint="eastAsia"/>
          <w:highlight w:val="none"/>
          <w:lang w:val="en-US" w:eastAsia="zh-CN"/>
        </w:rPr>
        <w:t>误操作</w:t>
      </w:r>
      <w:r>
        <w:rPr>
          <w:rFonts w:hint="eastAsia"/>
        </w:rPr>
        <w:t>。</w:t>
      </w:r>
    </w:p>
    <w:p w14:paraId="5CCA7A79">
      <w:pPr>
        <w:pStyle w:val="65"/>
        <w:spacing w:before="120" w:after="120"/>
      </w:pPr>
      <w:bookmarkStart w:id="74" w:name="_Toc177558332"/>
      <w:r>
        <w:rPr>
          <w:rFonts w:hint="eastAsia"/>
        </w:rPr>
        <w:t>失效影响分析</w:t>
      </w:r>
      <w:bookmarkEnd w:id="74"/>
    </w:p>
    <w:p w14:paraId="2DE3E6E7">
      <w:pPr>
        <w:pStyle w:val="56"/>
        <w:ind w:firstLine="420"/>
      </w:pPr>
      <w:r>
        <w:rPr>
          <w:rFonts w:hint="eastAsia"/>
        </w:rPr>
        <w:t>失效影响是失效模式的后果，一个失效模式可以有多个失效影响，失效影响可从局部影响和最终影响两方面考虑。</w:t>
      </w:r>
    </w:p>
    <w:p w14:paraId="26BD0D75">
      <w:pPr>
        <w:pStyle w:val="56"/>
        <w:ind w:firstLine="420"/>
      </w:pPr>
      <w:r>
        <w:rPr>
          <w:rFonts w:hint="eastAsia"/>
        </w:rPr>
        <w:t>局部影响是指失效模式对被分析产品或同一层级产品局部的使用、功能等的影响。局部影响的描述为确定检测方法、补偿措施提供了依据。局部影响可能是</w:t>
      </w:r>
      <w:r>
        <w:rPr>
          <w:rFonts w:hint="eastAsia"/>
          <w:lang w:eastAsia="zh-CN"/>
        </w:rPr>
        <w:t>失效</w:t>
      </w:r>
      <w:r>
        <w:rPr>
          <w:rFonts w:hint="eastAsia"/>
        </w:rPr>
        <w:t>模式本身。</w:t>
      </w:r>
    </w:p>
    <w:p w14:paraId="737D4EDA">
      <w:pPr>
        <w:pStyle w:val="56"/>
        <w:ind w:firstLine="420"/>
      </w:pPr>
      <w:r>
        <w:rPr>
          <w:rFonts w:hint="eastAsia"/>
        </w:rPr>
        <w:t>最终影响主要用于描述失效模式对有源医疗器械使用、功能等的影响，及对用户和适用的法律法规等的影响。</w:t>
      </w:r>
    </w:p>
    <w:p w14:paraId="07CCAEFF">
      <w:pPr>
        <w:pStyle w:val="65"/>
        <w:spacing w:before="120" w:after="120"/>
      </w:pPr>
      <w:bookmarkStart w:id="75" w:name="_Toc177558333"/>
      <w:r>
        <w:rPr>
          <w:rFonts w:hint="eastAsia"/>
          <w:lang w:eastAsia="zh-CN"/>
        </w:rPr>
        <w:t>危害性</w:t>
      </w:r>
      <w:r>
        <w:rPr>
          <w:rFonts w:hint="eastAsia"/>
        </w:rPr>
        <w:t>分析</w:t>
      </w:r>
      <w:bookmarkEnd w:id="75"/>
    </w:p>
    <w:p w14:paraId="3BF980A3">
      <w:pPr>
        <w:pStyle w:val="56"/>
        <w:ind w:firstLine="420"/>
      </w:pPr>
      <w:r>
        <w:rPr>
          <w:rFonts w:hint="eastAsia"/>
          <w:lang w:eastAsia="zh-CN"/>
        </w:rPr>
        <w:t>危害性</w:t>
      </w:r>
      <w:r>
        <w:rPr>
          <w:rFonts w:hint="eastAsia"/>
        </w:rPr>
        <w:t>分析的目的是通过评估失效模式的</w:t>
      </w:r>
      <w:r>
        <w:rPr>
          <w:rFonts w:hint="eastAsia"/>
          <w:lang w:eastAsia="zh-CN"/>
        </w:rPr>
        <w:t>严重度</w:t>
      </w:r>
      <w:r>
        <w:rPr>
          <w:rFonts w:hint="eastAsia"/>
        </w:rPr>
        <w:t>(S)、发生概率(O)、可探测度(D)来评估其</w:t>
      </w:r>
      <w:r>
        <w:rPr>
          <w:rFonts w:hint="eastAsia"/>
          <w:lang w:eastAsia="zh-CN"/>
        </w:rPr>
        <w:t>危害性</w:t>
      </w:r>
      <w:r>
        <w:rPr>
          <w:rFonts w:hint="eastAsia"/>
        </w:rPr>
        <w:t>排序，并得到采取行动的优先级。有源医疗器械范围广，涉及种类繁多，各制造商可根据自身产品特点定义</w:t>
      </w:r>
      <w:r>
        <w:rPr>
          <w:rFonts w:hint="eastAsia"/>
          <w:lang w:eastAsia="zh-CN"/>
        </w:rPr>
        <w:t>严重度</w:t>
      </w:r>
      <w:r>
        <w:rPr>
          <w:rFonts w:hint="eastAsia"/>
        </w:rPr>
        <w:t>、发生概率和可探测度等级。</w:t>
      </w:r>
    </w:p>
    <w:p w14:paraId="35651F28">
      <w:pPr>
        <w:pStyle w:val="56"/>
        <w:ind w:firstLine="420"/>
      </w:pPr>
      <w:r>
        <w:rPr>
          <w:rFonts w:hint="eastAsia"/>
          <w:lang w:eastAsia="zh-CN"/>
        </w:rPr>
        <w:t>严重度</w:t>
      </w:r>
      <w:r>
        <w:rPr>
          <w:rFonts w:hint="eastAsia"/>
        </w:rPr>
        <w:t>(S)是评价失效模式导致的最严重影响的度量。针对有源医疗器械，可以从待分析对象发生某种失效模式后造成的临床影响来划分</w:t>
      </w:r>
      <w:r>
        <w:rPr>
          <w:rFonts w:hint="eastAsia"/>
          <w:lang w:eastAsia="zh-CN"/>
        </w:rPr>
        <w:t>严重度</w:t>
      </w:r>
      <w:r>
        <w:rPr>
          <w:rFonts w:hint="eastAsia"/>
        </w:rPr>
        <w:t>等级。</w:t>
      </w:r>
    </w:p>
    <w:p w14:paraId="44D82F5B">
      <w:pPr>
        <w:pStyle w:val="56"/>
        <w:ind w:firstLine="420"/>
      </w:pPr>
      <w:r>
        <w:rPr>
          <w:rFonts w:hint="eastAsia"/>
        </w:rPr>
        <w:t>发生概率(O)描述了在用户使用中发生失效的可能性。发生概率的来源可参考历史数据、相似产品的信息、设计分析、试验、专业知识等方面的信息。公司内如有经验数据，应优先采用。</w:t>
      </w:r>
    </w:p>
    <w:p w14:paraId="177C2E5D">
      <w:pPr>
        <w:pStyle w:val="56"/>
        <w:ind w:firstLine="420"/>
        <w:rPr>
          <w:rFonts w:hint="eastAsia"/>
          <w:lang w:val="en-US" w:eastAsia="zh-CN"/>
        </w:rPr>
      </w:pPr>
      <w:r>
        <w:rPr>
          <w:rFonts w:hint="eastAsia"/>
          <w:lang w:val="en-US" w:eastAsia="zh-CN"/>
        </w:rPr>
        <w:t>可探测度(D)表示了现有设计控制方法对失效原因或失效模式探测有效性的度量，探测等级依据最有效的探测措施进行评估。可探测度越高，分值越低。</w:t>
      </w:r>
    </w:p>
    <w:p w14:paraId="27BE43F3">
      <w:pPr>
        <w:pStyle w:val="56"/>
        <w:ind w:firstLine="420"/>
      </w:pPr>
      <w:r>
        <w:rPr>
          <w:rFonts w:hint="eastAsia"/>
        </w:rPr>
        <w:t>失效模式</w:t>
      </w:r>
      <w:r>
        <w:rPr>
          <w:rFonts w:hint="eastAsia"/>
          <w:lang w:eastAsia="zh-CN"/>
        </w:rPr>
        <w:t>危害性</w:t>
      </w:r>
      <w:r>
        <w:rPr>
          <w:rFonts w:hint="eastAsia"/>
        </w:rPr>
        <w:t>评价时，以</w:t>
      </w:r>
      <w:r>
        <w:rPr>
          <w:rFonts w:hint="eastAsia"/>
          <w:lang w:eastAsia="zh-CN"/>
        </w:rPr>
        <w:t>危害性</w:t>
      </w:r>
      <w:r>
        <w:rPr>
          <w:rFonts w:hint="eastAsia"/>
        </w:rPr>
        <w:t>评价指数 RPN = S × O × D 表征其</w:t>
      </w:r>
      <w:r>
        <w:rPr>
          <w:rFonts w:hint="eastAsia"/>
          <w:lang w:eastAsia="zh-CN"/>
        </w:rPr>
        <w:t>危害性</w:t>
      </w:r>
      <w:r>
        <w:rPr>
          <w:rFonts w:hint="eastAsia"/>
        </w:rPr>
        <w:t>的相对大小。一般当 RPN</w:t>
      </w:r>
      <w:r>
        <w:t xml:space="preserve"> </w:t>
      </w:r>
      <w:r>
        <w:rPr>
          <w:rFonts w:hint="eastAsia"/>
        </w:rPr>
        <w:t>值高于一定数值，则为不可接受的风险，该失效应采取措施处理。还可将 RPN 值结合 S × O 分值／矩阵来决定需处理的潜在失效项。对于低于规定 RPN 值的风险项，虽然属于可接受风险，但若条件允许，尽可能采取措施降低其风险等级。</w:t>
      </w:r>
    </w:p>
    <w:p w14:paraId="020A70E5">
      <w:pPr>
        <w:pStyle w:val="65"/>
        <w:spacing w:before="120" w:after="120"/>
      </w:pPr>
      <w:bookmarkStart w:id="76" w:name="_Toc177558334"/>
      <w:r>
        <w:rPr>
          <w:rFonts w:hint="eastAsia"/>
        </w:rPr>
        <w:t>采取措施</w:t>
      </w:r>
      <w:bookmarkEnd w:id="76"/>
    </w:p>
    <w:p w14:paraId="55F3968B">
      <w:pPr>
        <w:pStyle w:val="56"/>
        <w:ind w:firstLine="420"/>
      </w:pPr>
      <w:r>
        <w:rPr>
          <w:rFonts w:hint="eastAsia"/>
        </w:rPr>
        <w:t>可采取的措施一般有失效检测和补偿两种。</w:t>
      </w:r>
    </w:p>
    <w:p w14:paraId="6CBDE401">
      <w:pPr>
        <w:pStyle w:val="56"/>
        <w:ind w:firstLine="420"/>
      </w:pPr>
      <w:r>
        <w:rPr>
          <w:rFonts w:hint="eastAsia"/>
        </w:rPr>
        <w:t>失效检测措施主要是指用检测的方式来识别出是否有失效发生。检测措施的完善一般可以提升可 探测度。失效检测一般有目视检查、机内测试、状态监测、自动传感检测等方法。大部分的失效检测属 于事后检测，但是也可以通过对潜在失效模式的分析，在设计中采用事前检测方法。</w:t>
      </w:r>
    </w:p>
    <w:p w14:paraId="70AEE12B">
      <w:pPr>
        <w:pStyle w:val="56"/>
        <w:ind w:firstLine="420"/>
      </w:pPr>
      <w:r>
        <w:rPr>
          <w:rFonts w:hint="eastAsia"/>
        </w:rPr>
        <w:t>补偿措施既包括预防、纠正措施，也包括冗余设计、维护保养等补偿方法。预防、纠正措施指针对失效原因，在考虑或确定设计方案时应重点从设计、工艺、元器件或材料选择、试验及质量控制等方面采取的技术、控制措施。而常用的补偿方法有：冗余设计、安全装置（报警、监控等）、替换的工作方式（备用设备等）、维修维护等。</w:t>
      </w:r>
    </w:p>
    <w:p w14:paraId="43D34890">
      <w:pPr>
        <w:pStyle w:val="65"/>
        <w:spacing w:before="120" w:after="120"/>
      </w:pPr>
      <w:bookmarkStart w:id="77" w:name="_Toc177558335"/>
      <w:r>
        <w:rPr>
          <w:rFonts w:hint="eastAsia"/>
        </w:rPr>
        <w:t>采取措施后的</w:t>
      </w:r>
      <w:r>
        <w:rPr>
          <w:rFonts w:hint="eastAsia"/>
          <w:lang w:eastAsia="zh-CN"/>
        </w:rPr>
        <w:t>危害性</w:t>
      </w:r>
      <w:r>
        <w:rPr>
          <w:rFonts w:hint="eastAsia"/>
        </w:rPr>
        <w:t>评价</w:t>
      </w:r>
      <w:bookmarkEnd w:id="77"/>
    </w:p>
    <w:p w14:paraId="69F79FDF">
      <w:pPr>
        <w:pStyle w:val="56"/>
        <w:ind w:firstLine="420"/>
      </w:pPr>
      <w:r>
        <w:rPr>
          <w:rFonts w:hint="eastAsia"/>
        </w:rPr>
        <w:t>评分目的是为了判断采取措施后，该失效的</w:t>
      </w:r>
      <w:r>
        <w:rPr>
          <w:rFonts w:hint="eastAsia"/>
          <w:lang w:eastAsia="zh-CN"/>
        </w:rPr>
        <w:t>危害性</w:t>
      </w:r>
      <w:r>
        <w:rPr>
          <w:rFonts w:hint="eastAsia"/>
        </w:rPr>
        <w:t>是否可以降低到可接受标准之下。具体可参照5.2.4 有关内容。</w:t>
      </w:r>
    </w:p>
    <w:p w14:paraId="29A8C1A9">
      <w:pPr>
        <w:pStyle w:val="65"/>
        <w:spacing w:before="120" w:after="120"/>
      </w:pPr>
      <w:bookmarkStart w:id="78" w:name="_Toc177558336"/>
      <w:r>
        <w:rPr>
          <w:rFonts w:hint="eastAsia"/>
        </w:rPr>
        <w:t>参考文件</w:t>
      </w:r>
      <w:bookmarkEnd w:id="78"/>
    </w:p>
    <w:p w14:paraId="53E76D5D">
      <w:pPr>
        <w:pStyle w:val="56"/>
        <w:ind w:firstLine="420"/>
      </w:pPr>
      <w:r>
        <w:rPr>
          <w:rFonts w:hint="eastAsia"/>
        </w:rPr>
        <w:t>体现了补偿措施的过程、方法、结果等文件。可用于改进措施落实情况的追踪及落实结果的评价。</w:t>
      </w:r>
    </w:p>
    <w:p w14:paraId="4FF13204">
      <w:pPr>
        <w:pStyle w:val="105"/>
        <w:spacing w:before="120" w:after="120"/>
      </w:pPr>
      <w:bookmarkStart w:id="79" w:name="_Toc177558381"/>
      <w:bookmarkStart w:id="80" w:name="_Toc177558337"/>
      <w:r>
        <w:rPr>
          <w:rFonts w:hint="eastAsia"/>
        </w:rPr>
        <w:t>DFMECA后续工作</w:t>
      </w:r>
      <w:bookmarkEnd w:id="79"/>
      <w:bookmarkEnd w:id="80"/>
    </w:p>
    <w:p w14:paraId="6E8942A2">
      <w:pPr>
        <w:pStyle w:val="56"/>
        <w:ind w:firstLine="420"/>
      </w:pPr>
      <w:r>
        <w:rPr>
          <w:rFonts w:hint="eastAsia"/>
        </w:rPr>
        <w:t>DFMECA分析工作完成后，需输出报告。报告格式可参考附录 B。还需开展以下工作：</w:t>
      </w:r>
    </w:p>
    <w:p w14:paraId="372D64F4">
      <w:pPr>
        <w:pStyle w:val="56"/>
        <w:numPr>
          <w:ilvl w:val="0"/>
          <w:numId w:val="37"/>
        </w:numPr>
        <w:ind w:firstLineChars="0"/>
      </w:pPr>
      <w:r>
        <w:rPr>
          <w:rFonts w:hint="eastAsia"/>
        </w:rPr>
        <w:t>DFMECA结果评审，该过程可结合技术评审、节点评审等进行，也可单独进行；</w:t>
      </w:r>
    </w:p>
    <w:p w14:paraId="0516DF57">
      <w:pPr>
        <w:pStyle w:val="56"/>
        <w:numPr>
          <w:ilvl w:val="0"/>
          <w:numId w:val="37"/>
        </w:numPr>
        <w:ind w:firstLineChars="0"/>
      </w:pPr>
      <w:r>
        <w:rPr>
          <w:rFonts w:hint="eastAsia"/>
        </w:rPr>
        <w:t>将 DFMECA</w:t>
      </w:r>
      <w:r>
        <w:t xml:space="preserve"> </w:t>
      </w:r>
      <w:r>
        <w:rPr>
          <w:rFonts w:hint="eastAsia"/>
        </w:rPr>
        <w:t>措施的落实分配给具体人员，并纳入项目管理的范畴；</w:t>
      </w:r>
    </w:p>
    <w:p w14:paraId="4A994423">
      <w:pPr>
        <w:pStyle w:val="56"/>
        <w:numPr>
          <w:ilvl w:val="0"/>
          <w:numId w:val="37"/>
        </w:numPr>
        <w:ind w:firstLineChars="0"/>
      </w:pPr>
      <w:r>
        <w:rPr>
          <w:rFonts w:hint="eastAsia"/>
        </w:rPr>
        <w:t>定期跟踪检测／补偿措施的落实情况；</w:t>
      </w:r>
    </w:p>
    <w:p w14:paraId="6F01A43E">
      <w:pPr>
        <w:pStyle w:val="56"/>
        <w:numPr>
          <w:ilvl w:val="0"/>
          <w:numId w:val="37"/>
        </w:numPr>
        <w:ind w:firstLineChars="0"/>
      </w:pPr>
      <w:r>
        <w:rPr>
          <w:rFonts w:hint="eastAsia"/>
        </w:rPr>
        <w:t>评估措施的落实效果；</w:t>
      </w:r>
    </w:p>
    <w:p w14:paraId="62DFED85">
      <w:pPr>
        <w:pStyle w:val="56"/>
        <w:numPr>
          <w:ilvl w:val="0"/>
          <w:numId w:val="37"/>
        </w:numPr>
        <w:ind w:firstLineChars="0"/>
      </w:pPr>
      <w:r>
        <w:rPr>
          <w:rFonts w:hint="eastAsia"/>
        </w:rPr>
        <w:t>DFMECA</w:t>
      </w:r>
      <w:r>
        <w:t xml:space="preserve"> </w:t>
      </w:r>
      <w:r>
        <w:rPr>
          <w:rFonts w:hint="eastAsia"/>
        </w:rPr>
        <w:t>输出内容应持续更新。</w:t>
      </w:r>
    </w:p>
    <w:p w14:paraId="723BA95E">
      <w:pPr>
        <w:pStyle w:val="104"/>
        <w:spacing w:before="240" w:after="240"/>
      </w:pPr>
      <w:bookmarkStart w:id="81" w:name="_Toc177558338"/>
      <w:bookmarkStart w:id="82" w:name="_Toc177558382"/>
      <w:r>
        <w:t>PFMECA</w:t>
      </w:r>
      <w:bookmarkEnd w:id="81"/>
      <w:bookmarkEnd w:id="82"/>
    </w:p>
    <w:p w14:paraId="05B94CF1">
      <w:pPr>
        <w:pStyle w:val="105"/>
        <w:spacing w:before="120" w:after="120"/>
      </w:pPr>
      <w:bookmarkStart w:id="83" w:name="_Toc177558383"/>
      <w:bookmarkStart w:id="84" w:name="_Toc177558339"/>
      <w:r>
        <w:rPr>
          <w:rFonts w:hint="eastAsia"/>
        </w:rPr>
        <w:t>待分析对象定义</w:t>
      </w:r>
      <w:bookmarkEnd w:id="83"/>
      <w:bookmarkEnd w:id="84"/>
    </w:p>
    <w:p w14:paraId="05C3F321">
      <w:pPr>
        <w:pStyle w:val="56"/>
        <w:ind w:firstLine="420"/>
      </w:pPr>
      <w:r>
        <w:rPr>
          <w:rFonts w:hint="eastAsia"/>
        </w:rPr>
        <w:t>PFMECA</w:t>
      </w:r>
      <w:r>
        <w:t xml:space="preserve"> </w:t>
      </w:r>
      <w:r>
        <w:rPr>
          <w:rFonts w:hint="eastAsia"/>
        </w:rPr>
        <w:t>工作同样需要团队成员协同完成。分析前，可由 PFMECA</w:t>
      </w:r>
      <w:r>
        <w:t xml:space="preserve"> </w:t>
      </w:r>
      <w:r>
        <w:rPr>
          <w:rFonts w:hint="eastAsia"/>
        </w:rPr>
        <w:t>工作负责人完成待分析对象定义，以提升 PFMECA</w:t>
      </w:r>
      <w:r>
        <w:t xml:space="preserve"> </w:t>
      </w:r>
      <w:r>
        <w:rPr>
          <w:rFonts w:hint="eastAsia"/>
        </w:rPr>
        <w:t>过程的效率。</w:t>
      </w:r>
    </w:p>
    <w:p w14:paraId="4FDD4134">
      <w:pPr>
        <w:pStyle w:val="56"/>
        <w:ind w:firstLine="420"/>
      </w:pPr>
      <w:r>
        <w:rPr>
          <w:rFonts w:hint="eastAsia"/>
        </w:rPr>
        <w:t>定义待分析对象的主要工作：</w:t>
      </w:r>
    </w:p>
    <w:p w14:paraId="34A7C8FD">
      <w:pPr>
        <w:pStyle w:val="56"/>
        <w:numPr>
          <w:ilvl w:val="0"/>
          <w:numId w:val="38"/>
        </w:numPr>
        <w:ind w:firstLineChars="0"/>
      </w:pPr>
      <w:r>
        <w:rPr>
          <w:rFonts w:hint="eastAsia"/>
        </w:rPr>
        <w:t>确定待分析过程对象；</w:t>
      </w:r>
    </w:p>
    <w:p w14:paraId="595770A9">
      <w:pPr>
        <w:pStyle w:val="56"/>
        <w:numPr>
          <w:ilvl w:val="0"/>
          <w:numId w:val="38"/>
        </w:numPr>
        <w:ind w:firstLineChars="0"/>
      </w:pPr>
      <w:r>
        <w:rPr>
          <w:rFonts w:hint="eastAsia"/>
        </w:rPr>
        <w:t>对待分析过程对象进行功能描述。</w:t>
      </w:r>
    </w:p>
    <w:p w14:paraId="67435C23">
      <w:pPr>
        <w:pStyle w:val="56"/>
        <w:ind w:firstLine="420"/>
      </w:pPr>
      <w:r>
        <w:rPr>
          <w:rFonts w:hint="eastAsia"/>
        </w:rPr>
        <w:t>有源医疗器械示例可参考附录 C 。</w:t>
      </w:r>
    </w:p>
    <w:p w14:paraId="7C6D6E5C">
      <w:pPr>
        <w:pStyle w:val="65"/>
        <w:spacing w:before="120" w:after="120"/>
      </w:pPr>
      <w:bookmarkStart w:id="85" w:name="_Toc177558340"/>
      <w:r>
        <w:rPr>
          <w:rFonts w:hint="eastAsia"/>
        </w:rPr>
        <w:t>明确待分析对象</w:t>
      </w:r>
      <w:bookmarkEnd w:id="85"/>
    </w:p>
    <w:p w14:paraId="1ABAB70B">
      <w:pPr>
        <w:pStyle w:val="56"/>
        <w:ind w:firstLine="420"/>
      </w:pPr>
      <w:r>
        <w:rPr>
          <w:rFonts w:hint="eastAsia"/>
        </w:rPr>
        <w:t>制造过程会影响产品的质量。确定待分析过程对象的目的是明确识别哪些过程或过程的哪个环节需要进行分析。一般可以考虑将以下过程纳入待分析范围：新开发的过程、变更的过程、可能导致高风险的过程、根据经验需要重点考虑的其他过程等。</w:t>
      </w:r>
    </w:p>
    <w:p w14:paraId="2EE97255">
      <w:pPr>
        <w:pStyle w:val="65"/>
        <w:spacing w:before="120" w:after="120"/>
      </w:pPr>
      <w:bookmarkStart w:id="86" w:name="_Toc177558341"/>
      <w:r>
        <w:rPr>
          <w:rFonts w:hint="eastAsia"/>
        </w:rPr>
        <w:t>功能分析</w:t>
      </w:r>
      <w:bookmarkEnd w:id="86"/>
    </w:p>
    <w:p w14:paraId="139D7A90">
      <w:pPr>
        <w:pStyle w:val="56"/>
        <w:ind w:firstLine="420"/>
      </w:pPr>
      <w:r>
        <w:rPr>
          <w:rFonts w:hint="eastAsia"/>
        </w:rPr>
        <w:t>首先，将待分析过程分解为过程工序、工步等。针对复杂的过程，可利用过程流程图或结构树来描述过程、工序、工步间的关系，并将过程可视化。</w:t>
      </w:r>
    </w:p>
    <w:p w14:paraId="54E8206C">
      <w:pPr>
        <w:pStyle w:val="56"/>
        <w:ind w:firstLine="420"/>
      </w:pPr>
      <w:r>
        <w:rPr>
          <w:rFonts w:hint="eastAsia"/>
        </w:rPr>
        <w:t>其次，将过程功能按照分解结果分配到各工序、工步，并进行描述。过程功能分析主要有以下 3 种：</w:t>
      </w:r>
    </w:p>
    <w:p w14:paraId="0916B686">
      <w:pPr>
        <w:pStyle w:val="56"/>
        <w:numPr>
          <w:ilvl w:val="0"/>
          <w:numId w:val="39"/>
        </w:numPr>
        <w:ind w:firstLineChars="0"/>
      </w:pPr>
      <w:r>
        <w:rPr>
          <w:rFonts w:hint="eastAsia"/>
        </w:rPr>
        <w:t>过程本身功能：其功能可以从以下几点考虑：内部功能、外部功能、客户相关功能和／或最终用 户功能。</w:t>
      </w:r>
    </w:p>
    <w:p w14:paraId="03574459">
      <w:pPr>
        <w:pStyle w:val="56"/>
        <w:numPr>
          <w:ilvl w:val="0"/>
          <w:numId w:val="39"/>
        </w:numPr>
        <w:ind w:firstLineChars="0"/>
      </w:pPr>
      <w:r>
        <w:rPr>
          <w:rFonts w:hint="eastAsia"/>
        </w:rPr>
        <w:t>工序功能：可以以图纸、工艺路线或其他相关资料中的要求来做功能描述。</w:t>
      </w:r>
    </w:p>
    <w:p w14:paraId="74879A39">
      <w:pPr>
        <w:pStyle w:val="56"/>
        <w:numPr>
          <w:ilvl w:val="0"/>
          <w:numId w:val="39"/>
        </w:numPr>
        <w:ind w:firstLineChars="0"/>
      </w:pPr>
      <w:r>
        <w:rPr>
          <w:rFonts w:hint="eastAsia"/>
        </w:rPr>
        <w:t>工步功能：可用工步结果的组装规格或其他生产文件要求来做功能描述。</w:t>
      </w:r>
    </w:p>
    <w:p w14:paraId="4B972781">
      <w:pPr>
        <w:pStyle w:val="180"/>
        <w:numPr>
          <w:ilvl w:val="0"/>
          <w:numId w:val="40"/>
        </w:numPr>
      </w:pPr>
      <w:r>
        <w:rPr>
          <w:rFonts w:hint="eastAsia"/>
        </w:rPr>
        <w:t>过程流程图是利用一定的符号将实际的工艺过程以图形方式表现出来，以便于确定可能的变量形式。它有助于对要改进的过程有一个全面的、统一的了解，帮助项 目 团队确定过程中的一切可控与不可控的变量以及可能出现的问题。</w:t>
      </w:r>
    </w:p>
    <w:p w14:paraId="4175B63D">
      <w:pPr>
        <w:pStyle w:val="180"/>
      </w:pPr>
      <w:r>
        <w:rPr>
          <w:rFonts w:hint="eastAsia"/>
        </w:rPr>
        <w:t>结构树是按照层次排列系统元素，并通过结构连接说明关联关系。这个形象化的结构考虑了程序方法和过程工作要素（设备、人力等）之间的关系。</w:t>
      </w:r>
    </w:p>
    <w:p w14:paraId="74ADCB01">
      <w:pPr>
        <w:pStyle w:val="105"/>
        <w:spacing w:before="120" w:after="120"/>
      </w:pPr>
      <w:bookmarkStart w:id="87" w:name="_Toc177558384"/>
      <w:bookmarkStart w:id="88" w:name="_Toc177558342"/>
      <w:r>
        <w:rPr>
          <w:rFonts w:hint="eastAsia"/>
        </w:rPr>
        <w:t>PFMECA过程</w:t>
      </w:r>
      <w:bookmarkEnd w:id="87"/>
      <w:bookmarkEnd w:id="88"/>
    </w:p>
    <w:p w14:paraId="2913A016">
      <w:pPr>
        <w:pStyle w:val="56"/>
        <w:ind w:firstLine="420"/>
      </w:pPr>
      <w:r>
        <w:rPr>
          <w:rFonts w:hint="eastAsia"/>
        </w:rPr>
        <w:t>PFMECA 的主要工作是对过程进行分析，以识别失效模式、分析失效原因及失效影响，并根据失效模式的</w:t>
      </w:r>
      <w:r>
        <w:rPr>
          <w:rFonts w:hint="eastAsia"/>
          <w:lang w:eastAsia="zh-CN"/>
        </w:rPr>
        <w:t>严重度</w:t>
      </w:r>
      <w:r>
        <w:rPr>
          <w:rFonts w:hint="eastAsia"/>
        </w:rPr>
        <w:t>(S)、发生概率(O)、可探测度(D) 进行</w:t>
      </w:r>
      <w:r>
        <w:rPr>
          <w:rFonts w:hint="eastAsia"/>
          <w:lang w:eastAsia="zh-CN"/>
        </w:rPr>
        <w:t>危害性</w:t>
      </w:r>
      <w:r>
        <w:rPr>
          <w:rFonts w:hint="eastAsia"/>
        </w:rPr>
        <w:t>评估。 PFMECA 过程包括以下几个步骤。每个步骤跟实际工作的结合可参考附录 C 。</w:t>
      </w:r>
    </w:p>
    <w:p w14:paraId="3EF69644">
      <w:pPr>
        <w:pStyle w:val="65"/>
        <w:spacing w:before="120" w:after="120"/>
      </w:pPr>
      <w:bookmarkStart w:id="89" w:name="_Toc177558343"/>
      <w:r>
        <w:rPr>
          <w:rFonts w:hint="eastAsia"/>
        </w:rPr>
        <w:t>失效模式识别</w:t>
      </w:r>
      <w:bookmarkEnd w:id="89"/>
    </w:p>
    <w:p w14:paraId="51DCE7F2">
      <w:pPr>
        <w:pStyle w:val="56"/>
        <w:ind w:firstLine="420"/>
      </w:pPr>
      <w:r>
        <w:rPr>
          <w:rFonts w:hint="eastAsia"/>
        </w:rPr>
        <w:t>PFMECA 的失效模式是指待分析过程对象不能满足制造过程要求或导致产品不能满足设计要求的表现形式。</w:t>
      </w:r>
    </w:p>
    <w:p w14:paraId="646D29AA">
      <w:pPr>
        <w:pStyle w:val="56"/>
        <w:ind w:firstLine="420"/>
      </w:pPr>
      <w:r>
        <w:rPr>
          <w:rFonts w:hint="eastAsia"/>
        </w:rPr>
        <w:t>过程功能失效的描述可以从以下几方面考虑，但不限于：</w:t>
      </w:r>
    </w:p>
    <w:p w14:paraId="741CFE6E">
      <w:pPr>
        <w:pStyle w:val="56"/>
        <w:numPr>
          <w:ilvl w:val="0"/>
          <w:numId w:val="41"/>
        </w:numPr>
        <w:ind w:firstLineChars="0"/>
      </w:pPr>
      <w:r>
        <w:rPr>
          <w:rFonts w:hint="eastAsia"/>
        </w:rPr>
        <w:t>功能丧失；</w:t>
      </w:r>
    </w:p>
    <w:p w14:paraId="6FB0EBC0">
      <w:pPr>
        <w:pStyle w:val="56"/>
        <w:numPr>
          <w:ilvl w:val="0"/>
          <w:numId w:val="41"/>
        </w:numPr>
        <w:ind w:firstLineChars="0"/>
      </w:pPr>
      <w:r>
        <w:rPr>
          <w:rFonts w:hint="eastAsia"/>
        </w:rPr>
        <w:t xml:space="preserve">功能不足； </w:t>
      </w:r>
    </w:p>
    <w:p w14:paraId="2B9D39DD">
      <w:pPr>
        <w:pStyle w:val="56"/>
        <w:numPr>
          <w:ilvl w:val="0"/>
          <w:numId w:val="41"/>
        </w:numPr>
        <w:ind w:firstLineChars="0"/>
      </w:pPr>
      <w:r>
        <w:rPr>
          <w:rFonts w:hint="eastAsia"/>
        </w:rPr>
        <w:t>过功能；</w:t>
      </w:r>
    </w:p>
    <w:p w14:paraId="4406E084">
      <w:pPr>
        <w:pStyle w:val="56"/>
        <w:numPr>
          <w:ilvl w:val="0"/>
          <w:numId w:val="41"/>
        </w:numPr>
        <w:ind w:firstLineChars="0"/>
      </w:pPr>
      <w:r>
        <w:rPr>
          <w:rFonts w:hint="eastAsia"/>
        </w:rPr>
        <w:t>功能退化；</w:t>
      </w:r>
    </w:p>
    <w:p w14:paraId="7E0D1B34">
      <w:pPr>
        <w:pStyle w:val="56"/>
        <w:numPr>
          <w:ilvl w:val="0"/>
          <w:numId w:val="41"/>
        </w:numPr>
        <w:ind w:firstLineChars="0"/>
      </w:pPr>
      <w:r>
        <w:rPr>
          <w:rFonts w:hint="eastAsia"/>
        </w:rPr>
        <w:t xml:space="preserve">间歇性功能； </w:t>
      </w:r>
    </w:p>
    <w:p w14:paraId="05C3AC8D">
      <w:pPr>
        <w:pStyle w:val="56"/>
        <w:numPr>
          <w:ilvl w:val="0"/>
          <w:numId w:val="41"/>
        </w:numPr>
        <w:ind w:firstLineChars="0"/>
      </w:pPr>
      <w:r>
        <w:rPr>
          <w:rFonts w:hint="eastAsia"/>
        </w:rPr>
        <w:t xml:space="preserve">意外的功能； </w:t>
      </w:r>
    </w:p>
    <w:p w14:paraId="3CE19151">
      <w:pPr>
        <w:pStyle w:val="56"/>
        <w:numPr>
          <w:ilvl w:val="0"/>
          <w:numId w:val="41"/>
        </w:numPr>
        <w:ind w:firstLineChars="0"/>
      </w:pPr>
      <w:r>
        <w:rPr>
          <w:rFonts w:hint="eastAsia"/>
        </w:rPr>
        <w:t>功能延迟等。</w:t>
      </w:r>
    </w:p>
    <w:p w14:paraId="7A209A2A">
      <w:pPr>
        <w:pStyle w:val="56"/>
        <w:ind w:firstLine="420"/>
      </w:pPr>
      <w:r>
        <w:rPr>
          <w:rFonts w:hint="eastAsia"/>
        </w:rPr>
        <w:t>各项解释可参考5.2.1相关内容。</w:t>
      </w:r>
    </w:p>
    <w:p w14:paraId="63643C13">
      <w:pPr>
        <w:pStyle w:val="65"/>
        <w:spacing w:before="120" w:after="120"/>
      </w:pPr>
      <w:bookmarkStart w:id="90" w:name="_Toc177558344"/>
      <w:r>
        <w:rPr>
          <w:rFonts w:hint="eastAsia"/>
        </w:rPr>
        <w:t>失效原因分析</w:t>
      </w:r>
      <w:bookmarkEnd w:id="90"/>
    </w:p>
    <w:p w14:paraId="7C6AF850">
      <w:pPr>
        <w:pStyle w:val="56"/>
        <w:ind w:firstLine="420"/>
      </w:pPr>
      <w:r>
        <w:rPr>
          <w:rFonts w:hint="eastAsia"/>
        </w:rPr>
        <w:t>失效原因是引起失效模式发生的原因，它揭示了失效模式为何发生。典型的失效原因可以从人、机、料、法、环、测等几个方面考量。其中：</w:t>
      </w:r>
    </w:p>
    <w:p w14:paraId="12655F51">
      <w:pPr>
        <w:pStyle w:val="56"/>
        <w:ind w:firstLine="420"/>
      </w:pPr>
      <w:r>
        <w:rPr>
          <w:rFonts w:hint="eastAsia"/>
        </w:rPr>
        <w:t>“人”主要指过程执行者的原因造成了失效，例如拿错零件；</w:t>
      </w:r>
    </w:p>
    <w:p w14:paraId="6CECD966">
      <w:pPr>
        <w:pStyle w:val="56"/>
        <w:ind w:firstLine="420"/>
      </w:pPr>
      <w:r>
        <w:rPr>
          <w:rFonts w:hint="eastAsia"/>
        </w:rPr>
        <w:t>“机”主要指过程中生产设备的原因造成了失效，例如生产设备软件异常；“料”主要指过程中材料的原因造成了失效，例如材料质量问题；</w:t>
      </w:r>
    </w:p>
    <w:p w14:paraId="181736DF">
      <w:pPr>
        <w:pStyle w:val="56"/>
        <w:ind w:firstLine="420"/>
      </w:pPr>
      <w:r>
        <w:rPr>
          <w:rFonts w:hint="eastAsia"/>
        </w:rPr>
        <w:t>“法”主要指过程中方法（工艺指导书等）的原因造成了失效，例如螺栓扭紧力过大；</w:t>
      </w:r>
    </w:p>
    <w:p w14:paraId="5A9AF533">
      <w:pPr>
        <w:pStyle w:val="56"/>
        <w:ind w:firstLine="420"/>
      </w:pPr>
      <w:r>
        <w:rPr>
          <w:rFonts w:hint="eastAsia"/>
        </w:rPr>
        <w:t>“环”主要指过程中环境因素造成了失效，例如温度不达标造成失效；</w:t>
      </w:r>
    </w:p>
    <w:p w14:paraId="5EE3F8AA">
      <w:pPr>
        <w:pStyle w:val="56"/>
        <w:ind w:firstLine="420"/>
      </w:pPr>
      <w:r>
        <w:rPr>
          <w:rFonts w:hint="eastAsia"/>
        </w:rPr>
        <w:t>“测”主要指过程中由于测量偏差引起的误判。</w:t>
      </w:r>
    </w:p>
    <w:p w14:paraId="6D945FFB">
      <w:pPr>
        <w:pStyle w:val="65"/>
        <w:spacing w:before="120" w:after="120"/>
      </w:pPr>
      <w:bookmarkStart w:id="91" w:name="_Toc177558345"/>
      <w:r>
        <w:rPr>
          <w:rFonts w:hint="eastAsia"/>
        </w:rPr>
        <w:t>失效影响分析</w:t>
      </w:r>
      <w:bookmarkEnd w:id="91"/>
    </w:p>
    <w:p w14:paraId="2E9FF840">
      <w:pPr>
        <w:pStyle w:val="56"/>
        <w:ind w:firstLine="420"/>
      </w:pPr>
      <w:r>
        <w:rPr>
          <w:rFonts w:hint="eastAsia"/>
        </w:rPr>
        <w:t>失效影响是失效模式的后果，失效影响可从局部影响和最终影响两方面考虑。</w:t>
      </w:r>
    </w:p>
    <w:p w14:paraId="133AB607">
      <w:pPr>
        <w:pStyle w:val="56"/>
        <w:ind w:firstLine="420"/>
      </w:pPr>
      <w:r>
        <w:rPr>
          <w:rFonts w:hint="eastAsia"/>
        </w:rPr>
        <w:t>局部影响主要指失效对本过程、工序、工步的影响、对下游过程、工序、工步的影响等。最终影响主要描述失效对有源医疗器械的功能、性能</w:t>
      </w:r>
      <w:r>
        <w:rPr>
          <w:rFonts w:hint="eastAsia"/>
          <w:lang w:eastAsia="zh-CN"/>
        </w:rPr>
        <w:t>、</w:t>
      </w:r>
      <w:r>
        <w:rPr>
          <w:rFonts w:hint="eastAsia"/>
          <w:lang w:val="en-US" w:eastAsia="zh-CN"/>
        </w:rPr>
        <w:t>生产成本和效率、</w:t>
      </w:r>
      <w:r>
        <w:rPr>
          <w:rFonts w:hint="eastAsia"/>
        </w:rPr>
        <w:t>用户使用等的影响。</w:t>
      </w:r>
    </w:p>
    <w:p w14:paraId="34CCE1CC">
      <w:pPr>
        <w:pStyle w:val="65"/>
        <w:spacing w:before="120" w:after="120"/>
      </w:pPr>
      <w:bookmarkStart w:id="92" w:name="_Toc177558346"/>
      <w:r>
        <w:rPr>
          <w:rFonts w:hint="eastAsia"/>
          <w:lang w:eastAsia="zh-CN"/>
        </w:rPr>
        <w:t>危害性</w:t>
      </w:r>
      <w:r>
        <w:rPr>
          <w:rFonts w:hint="eastAsia"/>
        </w:rPr>
        <w:t>分析</w:t>
      </w:r>
      <w:bookmarkEnd w:id="92"/>
    </w:p>
    <w:p w14:paraId="4733A191">
      <w:pPr>
        <w:pStyle w:val="56"/>
        <w:ind w:firstLine="420"/>
      </w:pPr>
      <w:r>
        <w:rPr>
          <w:rFonts w:hint="eastAsia"/>
        </w:rPr>
        <w:t>过程</w:t>
      </w:r>
      <w:r>
        <w:rPr>
          <w:rFonts w:hint="eastAsia"/>
          <w:lang w:eastAsia="zh-CN"/>
        </w:rPr>
        <w:t>危害性</w:t>
      </w:r>
      <w:r>
        <w:rPr>
          <w:rFonts w:hint="eastAsia"/>
        </w:rPr>
        <w:t>分析的目的是通过综合考虑失效模式的</w:t>
      </w:r>
      <w:r>
        <w:rPr>
          <w:rFonts w:hint="eastAsia"/>
          <w:lang w:eastAsia="zh-CN"/>
        </w:rPr>
        <w:t>严重度</w:t>
      </w:r>
      <w:r>
        <w:rPr>
          <w:rFonts w:hint="eastAsia"/>
        </w:rPr>
        <w:t>(S)、发生概率(O)和可探测度(D)来评估其</w:t>
      </w:r>
      <w:r>
        <w:rPr>
          <w:rFonts w:hint="eastAsia"/>
          <w:lang w:eastAsia="zh-CN"/>
        </w:rPr>
        <w:t>危害性</w:t>
      </w:r>
      <w:r>
        <w:rPr>
          <w:rFonts w:hint="eastAsia"/>
        </w:rPr>
        <w:t>，并根据</w:t>
      </w:r>
      <w:r>
        <w:rPr>
          <w:rFonts w:hint="eastAsia"/>
          <w:lang w:eastAsia="zh-CN"/>
        </w:rPr>
        <w:t>危害性</w:t>
      </w:r>
      <w:r>
        <w:rPr>
          <w:rFonts w:hint="eastAsia"/>
        </w:rPr>
        <w:t>分析结果确定采取改进措施的优先顺序。</w:t>
      </w:r>
    </w:p>
    <w:p w14:paraId="48E72631">
      <w:pPr>
        <w:pStyle w:val="56"/>
        <w:ind w:firstLine="420"/>
      </w:pPr>
      <w:r>
        <w:rPr>
          <w:rFonts w:hint="eastAsia"/>
          <w:lang w:eastAsia="zh-CN"/>
        </w:rPr>
        <w:t>严重度</w:t>
      </w:r>
      <w:r>
        <w:rPr>
          <w:rFonts w:hint="eastAsia"/>
        </w:rPr>
        <w:t>(S)是对过程所有可能的失效模式导致的最严重影响的度量。其等级分类可以从影响生产人员健康、产品废弃、部分废弃、返工、部分返工、对过程造成轻微不便、无明显影响等方面考虑，从高到低划分。</w:t>
      </w:r>
    </w:p>
    <w:p w14:paraId="5C034466">
      <w:pPr>
        <w:pStyle w:val="56"/>
        <w:ind w:firstLine="420"/>
      </w:pPr>
      <w:r>
        <w:rPr>
          <w:rFonts w:hint="eastAsia"/>
        </w:rPr>
        <w:t>发生概率(O)描述过程中失效模式的发生频度，例如装配过程中的不良率。可参考类似过程的现场经验、类似过程的历史记录、生产过程是否有变更、生产过程中的失效发生情况等方面考虑。</w:t>
      </w:r>
    </w:p>
    <w:p w14:paraId="3253FFBE">
      <w:pPr>
        <w:pStyle w:val="56"/>
        <w:ind w:firstLine="420"/>
        <w:rPr>
          <w:rFonts w:hint="eastAsia" w:ascii="宋体" w:hAnsi="Times New Roman" w:eastAsia="宋体" w:cs="Times New Roman"/>
          <w:highlight w:val="none"/>
        </w:rPr>
      </w:pPr>
      <w:r>
        <w:rPr>
          <w:rFonts w:hint="eastAsia" w:ascii="宋体" w:hAnsi="Times New Roman" w:eastAsia="宋体" w:cs="Times New Roman"/>
          <w:highlight w:val="none"/>
        </w:rPr>
        <w:t>可探测度(D)表示了</w:t>
      </w:r>
      <w:r>
        <w:rPr>
          <w:rFonts w:hint="eastAsia" w:ascii="宋体" w:hAnsi="Times New Roman" w:eastAsia="宋体" w:cs="Times New Roman"/>
          <w:highlight w:val="none"/>
          <w:lang w:val="en-US" w:eastAsia="zh-CN"/>
        </w:rPr>
        <w:t>现有</w:t>
      </w:r>
      <w:r>
        <w:rPr>
          <w:rFonts w:hint="eastAsia" w:ascii="宋体" w:hAnsi="Times New Roman" w:eastAsia="宋体" w:cs="Times New Roman"/>
          <w:highlight w:val="none"/>
        </w:rPr>
        <w:t>过程控制方法对失效原因或失效模式探测有效性的度量，探测等级依据最有效的探测措施进行评估。可探测度越高，分值越低。</w:t>
      </w:r>
    </w:p>
    <w:p w14:paraId="4FFAE9CF">
      <w:pPr>
        <w:pStyle w:val="56"/>
        <w:ind w:firstLine="420"/>
      </w:pPr>
      <w:r>
        <w:rPr>
          <w:rFonts w:hint="eastAsia"/>
          <w:lang w:eastAsia="zh-CN"/>
        </w:rPr>
        <w:t>危害性</w:t>
      </w:r>
      <w:r>
        <w:rPr>
          <w:rFonts w:hint="eastAsia"/>
        </w:rPr>
        <w:t>评价指数 RPN</w:t>
      </w:r>
      <w:r>
        <w:t xml:space="preserve"> </w:t>
      </w:r>
      <w:r>
        <w:rPr>
          <w:rFonts w:hint="eastAsia"/>
        </w:rPr>
        <w:t>=</w:t>
      </w:r>
      <w:r>
        <w:t xml:space="preserve"> </w:t>
      </w:r>
      <w:r>
        <w:rPr>
          <w:rFonts w:hint="eastAsia"/>
        </w:rPr>
        <w:t>S</w:t>
      </w:r>
      <w:r>
        <w:t xml:space="preserve"> </w:t>
      </w:r>
      <w:r>
        <w:rPr>
          <w:rFonts w:hint="eastAsia"/>
        </w:rPr>
        <w:t>× O</w:t>
      </w:r>
      <w:r>
        <w:t xml:space="preserve"> </w:t>
      </w:r>
      <w:r>
        <w:rPr>
          <w:rFonts w:hint="eastAsia"/>
        </w:rPr>
        <w:t>× D 。一般当 RPN</w:t>
      </w:r>
      <w:r>
        <w:t xml:space="preserve"> </w:t>
      </w:r>
      <w:r>
        <w:rPr>
          <w:rFonts w:hint="eastAsia"/>
        </w:rPr>
        <w:t>值高于一定数值，则为不可接受的风险，该失效应采取措施处理。还可将 RPN值结合 S</w:t>
      </w:r>
      <w:r>
        <w:t xml:space="preserve"> </w:t>
      </w:r>
      <w:r>
        <w:rPr>
          <w:rFonts w:hint="eastAsia"/>
        </w:rPr>
        <w:t>× O 分值／矩阵结果来决定需处理的失效项。</w:t>
      </w:r>
    </w:p>
    <w:p w14:paraId="26B6A061">
      <w:pPr>
        <w:pStyle w:val="65"/>
        <w:spacing w:before="120" w:after="120"/>
      </w:pPr>
      <w:bookmarkStart w:id="93" w:name="_Toc177558347"/>
      <w:r>
        <w:rPr>
          <w:rFonts w:hint="eastAsia"/>
        </w:rPr>
        <w:t>可采取的措施</w:t>
      </w:r>
      <w:bookmarkEnd w:id="93"/>
    </w:p>
    <w:p w14:paraId="18A30683">
      <w:pPr>
        <w:pStyle w:val="56"/>
        <w:ind w:firstLine="420"/>
      </w:pPr>
      <w:r>
        <w:rPr>
          <w:rFonts w:hint="eastAsia"/>
        </w:rPr>
        <w:t>可采取的措施一般分两种，即失效检测和补偿。</w:t>
      </w:r>
    </w:p>
    <w:p w14:paraId="428A7C08">
      <w:pPr>
        <w:pStyle w:val="56"/>
        <w:ind w:firstLine="420"/>
      </w:pPr>
      <w:r>
        <w:rPr>
          <w:rFonts w:hint="eastAsia"/>
        </w:rPr>
        <w:t>失效检测措施主要指过程中的检测行为，在</w:t>
      </w:r>
      <w:r>
        <w:rPr>
          <w:rFonts w:hint="eastAsia"/>
          <w:lang w:eastAsia="zh-CN"/>
        </w:rPr>
        <w:t>失效</w:t>
      </w:r>
      <w:r>
        <w:rPr>
          <w:rFonts w:hint="eastAsia"/>
        </w:rPr>
        <w:t>造成影响之前检测到</w:t>
      </w:r>
      <w:r>
        <w:rPr>
          <w:rFonts w:hint="eastAsia"/>
          <w:lang w:eastAsia="zh-CN"/>
        </w:rPr>
        <w:t>失效</w:t>
      </w:r>
      <w:r>
        <w:rPr>
          <w:rFonts w:hint="eastAsia"/>
        </w:rPr>
        <w:t>，并报警或停机，从而降低</w:t>
      </w:r>
      <w:r>
        <w:rPr>
          <w:rFonts w:hint="eastAsia"/>
          <w:lang w:eastAsia="zh-CN"/>
        </w:rPr>
        <w:t>失效</w:t>
      </w:r>
      <w:r>
        <w:rPr>
          <w:rFonts w:hint="eastAsia"/>
        </w:rPr>
        <w:t>的影响。例如：可视化检验等。</w:t>
      </w:r>
    </w:p>
    <w:p w14:paraId="4AF784BF">
      <w:pPr>
        <w:pStyle w:val="56"/>
        <w:ind w:firstLine="420"/>
      </w:pPr>
      <w:r>
        <w:rPr>
          <w:rFonts w:hint="eastAsia"/>
        </w:rPr>
        <w:t>补偿措施一般指在过程开始前通过一系列手段减少失效的产生。例如：详细的操作指导书、人员培训、过程监管等。</w:t>
      </w:r>
    </w:p>
    <w:p w14:paraId="3EEC69E4">
      <w:pPr>
        <w:pStyle w:val="65"/>
        <w:spacing w:before="120" w:after="120"/>
      </w:pPr>
      <w:bookmarkStart w:id="94" w:name="_Toc177558348"/>
      <w:r>
        <w:rPr>
          <w:rFonts w:hint="eastAsia"/>
        </w:rPr>
        <w:t>采取措施后的</w:t>
      </w:r>
      <w:r>
        <w:rPr>
          <w:rFonts w:hint="eastAsia"/>
          <w:lang w:eastAsia="zh-CN"/>
        </w:rPr>
        <w:t>危害性</w:t>
      </w:r>
      <w:r>
        <w:rPr>
          <w:rFonts w:hint="eastAsia"/>
        </w:rPr>
        <w:t>评价</w:t>
      </w:r>
      <w:bookmarkEnd w:id="94"/>
    </w:p>
    <w:p w14:paraId="2F35BE7A">
      <w:pPr>
        <w:pStyle w:val="56"/>
        <w:ind w:firstLine="420"/>
      </w:pPr>
      <w:r>
        <w:rPr>
          <w:rFonts w:hint="eastAsia"/>
        </w:rPr>
        <w:t>评分目的是为了判断采取措施后，该失效的</w:t>
      </w:r>
      <w:r>
        <w:rPr>
          <w:rFonts w:hint="eastAsia"/>
          <w:lang w:eastAsia="zh-CN"/>
        </w:rPr>
        <w:t>危害性</w:t>
      </w:r>
      <w:r>
        <w:rPr>
          <w:rFonts w:hint="eastAsia"/>
        </w:rPr>
        <w:t>是否可以降低到可接受标准之下。具体可参照5.2.4相关内容。</w:t>
      </w:r>
    </w:p>
    <w:p w14:paraId="34F47EBA">
      <w:pPr>
        <w:pStyle w:val="65"/>
        <w:spacing w:before="120" w:after="120"/>
      </w:pPr>
      <w:bookmarkStart w:id="95" w:name="_Toc177558349"/>
      <w:r>
        <w:rPr>
          <w:rFonts w:hint="eastAsia"/>
        </w:rPr>
        <w:t>参考文件</w:t>
      </w:r>
      <w:bookmarkEnd w:id="95"/>
    </w:p>
    <w:p w14:paraId="62939349">
      <w:pPr>
        <w:pStyle w:val="56"/>
        <w:ind w:firstLine="420"/>
      </w:pPr>
      <w:r>
        <w:rPr>
          <w:rFonts w:hint="eastAsia"/>
        </w:rPr>
        <w:t>参考文件是指体现了补偿措施的过程、方法、结果等文件。可用于补偿措施落实情况的追踪及落实结果的评价。</w:t>
      </w:r>
    </w:p>
    <w:p w14:paraId="740539A0">
      <w:pPr>
        <w:pStyle w:val="105"/>
        <w:spacing w:before="120" w:after="120"/>
      </w:pPr>
      <w:bookmarkStart w:id="96" w:name="_Toc177558350"/>
      <w:bookmarkStart w:id="97" w:name="_Toc177558385"/>
      <w:r>
        <w:rPr>
          <w:rFonts w:hint="eastAsia"/>
        </w:rPr>
        <w:t>PFMECA后续工作</w:t>
      </w:r>
      <w:bookmarkEnd w:id="96"/>
      <w:bookmarkEnd w:id="97"/>
    </w:p>
    <w:p w14:paraId="1266A512">
      <w:pPr>
        <w:pStyle w:val="56"/>
        <w:ind w:firstLine="420"/>
      </w:pPr>
      <w:r>
        <w:rPr>
          <w:rFonts w:hint="eastAsia"/>
        </w:rPr>
        <w:t>PFMECA</w:t>
      </w:r>
      <w:r>
        <w:t xml:space="preserve"> </w:t>
      </w:r>
      <w:r>
        <w:rPr>
          <w:rFonts w:hint="eastAsia"/>
        </w:rPr>
        <w:t>分析工作完成后，需输出报告，报告格式可参考附录 B。还需开展以下工作：</w:t>
      </w:r>
    </w:p>
    <w:p w14:paraId="637487FE">
      <w:pPr>
        <w:pStyle w:val="56"/>
        <w:numPr>
          <w:ilvl w:val="0"/>
          <w:numId w:val="42"/>
        </w:numPr>
        <w:ind w:firstLineChars="0"/>
      </w:pPr>
      <w:r>
        <w:rPr>
          <w:rFonts w:hint="eastAsia"/>
        </w:rPr>
        <w:t>PFMECA</w:t>
      </w:r>
      <w:r>
        <w:t xml:space="preserve"> </w:t>
      </w:r>
      <w:r>
        <w:rPr>
          <w:rFonts w:hint="eastAsia"/>
        </w:rPr>
        <w:t>分析后还需要通过改进流程来降低过程风险，并评估这些改进措施的有效性；</w:t>
      </w:r>
    </w:p>
    <w:p w14:paraId="0B252697">
      <w:pPr>
        <w:pStyle w:val="56"/>
        <w:numPr>
          <w:ilvl w:val="0"/>
          <w:numId w:val="42"/>
        </w:numPr>
        <w:ind w:firstLineChars="0"/>
      </w:pPr>
      <w:r>
        <w:rPr>
          <w:rFonts w:hint="eastAsia"/>
        </w:rPr>
        <w:t>将 PFMECA</w:t>
      </w:r>
      <w:r>
        <w:t xml:space="preserve"> </w:t>
      </w:r>
      <w:r>
        <w:rPr>
          <w:rFonts w:hint="eastAsia"/>
        </w:rPr>
        <w:t>措施的落实分配给具体人员，并纳入项目管理的范畴；</w:t>
      </w:r>
    </w:p>
    <w:p w14:paraId="467670A7">
      <w:pPr>
        <w:pStyle w:val="56"/>
        <w:numPr>
          <w:ilvl w:val="0"/>
          <w:numId w:val="42"/>
        </w:numPr>
        <w:ind w:firstLineChars="0"/>
      </w:pPr>
      <w:r>
        <w:rPr>
          <w:rFonts w:hint="eastAsia"/>
        </w:rPr>
        <w:t>定期追踪检测／预防措施的落实情况；</w:t>
      </w:r>
    </w:p>
    <w:p w14:paraId="294221A0">
      <w:pPr>
        <w:pStyle w:val="56"/>
        <w:numPr>
          <w:ilvl w:val="0"/>
          <w:numId w:val="42"/>
        </w:numPr>
        <w:ind w:firstLineChars="0"/>
      </w:pPr>
      <w:r>
        <w:rPr>
          <w:rFonts w:hint="eastAsia"/>
        </w:rPr>
        <w:t>评估措施的落实效果；</w:t>
      </w:r>
    </w:p>
    <w:p w14:paraId="5C9D9166">
      <w:pPr>
        <w:pStyle w:val="56"/>
        <w:numPr>
          <w:ilvl w:val="0"/>
          <w:numId w:val="42"/>
        </w:numPr>
        <w:ind w:firstLineChars="0"/>
      </w:pPr>
      <w:r>
        <w:rPr>
          <w:rFonts w:hint="eastAsia"/>
        </w:rPr>
        <w:t>PFMECA</w:t>
      </w:r>
      <w:r>
        <w:t xml:space="preserve"> </w:t>
      </w:r>
      <w:r>
        <w:rPr>
          <w:rFonts w:hint="eastAsia"/>
        </w:rPr>
        <w:t>输出内容应持续更新。</w:t>
      </w:r>
    </w:p>
    <w:p w14:paraId="04989BA7">
      <w:pPr>
        <w:pStyle w:val="56"/>
        <w:ind w:firstLine="420"/>
      </w:pPr>
    </w:p>
    <w:p w14:paraId="222655D8">
      <w:pPr>
        <w:pStyle w:val="56"/>
        <w:ind w:firstLine="420"/>
        <w:sectPr>
          <w:pgSz w:w="11906" w:h="16838"/>
          <w:pgMar w:top="1928" w:right="1134" w:bottom="1134" w:left="1134" w:header="1418" w:footer="1134" w:gutter="284"/>
          <w:pgBorders>
            <w:top w:val="none" w:sz="0" w:space="0"/>
            <w:left w:val="none" w:sz="0" w:space="0"/>
            <w:bottom w:val="none" w:sz="0" w:space="0"/>
            <w:right w:val="none" w:sz="0" w:space="0"/>
          </w:pgBorders>
          <w:pgNumType w:start="1"/>
          <w:cols w:space="425" w:num="1"/>
          <w:formProt w:val="0"/>
          <w:docGrid w:linePitch="312" w:charSpace="0"/>
        </w:sectPr>
      </w:pPr>
    </w:p>
    <w:bookmarkEnd w:id="27"/>
    <w:p w14:paraId="098630BB">
      <w:pPr>
        <w:pStyle w:val="198"/>
        <w:rPr>
          <w:vanish w:val="0"/>
        </w:rPr>
      </w:pPr>
      <w:bookmarkStart w:id="98" w:name="BookMark5"/>
    </w:p>
    <w:p w14:paraId="7FE72278">
      <w:pPr>
        <w:pStyle w:val="199"/>
        <w:rPr>
          <w:vanish w:val="0"/>
        </w:rPr>
      </w:pPr>
    </w:p>
    <w:p w14:paraId="5EF93D22">
      <w:pPr>
        <w:pStyle w:val="76"/>
        <w:spacing w:after="120"/>
      </w:pPr>
      <w:r>
        <w:br w:type="textWrapping"/>
      </w:r>
      <w:bookmarkStart w:id="99" w:name="_Toc177558386"/>
      <w:bookmarkStart w:id="100" w:name="_Toc177558351"/>
      <w:r>
        <w:rPr>
          <w:rFonts w:hint="eastAsia"/>
        </w:rPr>
        <w:t>（资料性）</w:t>
      </w:r>
      <w:r>
        <w:br w:type="textWrapping"/>
      </w:r>
      <w:r>
        <w:rPr>
          <w:rFonts w:hint="eastAsia"/>
        </w:rPr>
        <w:t>医疗机器人机械臂关节 1 DFMECA</w:t>
      </w:r>
      <w:r>
        <w:t xml:space="preserve"> </w:t>
      </w:r>
      <w:r>
        <w:rPr>
          <w:rFonts w:hint="eastAsia"/>
        </w:rPr>
        <w:t>示例</w:t>
      </w:r>
      <w:bookmarkEnd w:id="99"/>
      <w:bookmarkEnd w:id="100"/>
    </w:p>
    <w:p w14:paraId="0AB2E4BE">
      <w:pPr>
        <w:pStyle w:val="78"/>
        <w:spacing w:before="120" w:after="120"/>
      </w:pPr>
      <w:bookmarkStart w:id="101" w:name="_Toc177558352"/>
      <w:bookmarkStart w:id="102" w:name="_Toc177558387"/>
      <w:r>
        <w:rPr>
          <w:rFonts w:hint="eastAsia"/>
        </w:rPr>
        <w:t>概述</w:t>
      </w:r>
      <w:bookmarkEnd w:id="101"/>
      <w:bookmarkEnd w:id="102"/>
    </w:p>
    <w:p w14:paraId="72D1CFF8">
      <w:pPr>
        <w:pStyle w:val="56"/>
        <w:ind w:firstLine="420"/>
      </w:pPr>
      <w:r>
        <w:rPr>
          <w:rFonts w:hint="eastAsia"/>
        </w:rPr>
        <w:t>以医疗机器人为例，针对某机械臂关节 1 的 DFMECA</w:t>
      </w:r>
      <w:r>
        <w:t xml:space="preserve"> </w:t>
      </w:r>
      <w:r>
        <w:rPr>
          <w:rFonts w:hint="eastAsia"/>
        </w:rPr>
        <w:t>过程如下。</w:t>
      </w:r>
    </w:p>
    <w:p w14:paraId="3A76860A">
      <w:pPr>
        <w:pStyle w:val="78"/>
        <w:spacing w:before="120" w:after="120"/>
      </w:pPr>
      <w:bookmarkStart w:id="103" w:name="_Toc177558353"/>
      <w:bookmarkStart w:id="104" w:name="_Toc177558388"/>
      <w:r>
        <w:rPr>
          <w:rFonts w:hint="eastAsia"/>
        </w:rPr>
        <w:t>待分析对象定义</w:t>
      </w:r>
      <w:bookmarkEnd w:id="103"/>
      <w:bookmarkEnd w:id="104"/>
    </w:p>
    <w:p w14:paraId="03889D9F">
      <w:pPr>
        <w:pStyle w:val="56"/>
        <w:ind w:firstLine="420"/>
      </w:pPr>
      <w:r>
        <w:rPr>
          <w:rFonts w:hint="eastAsia"/>
        </w:rPr>
        <w:t>医疗机器人为全自主新研产品，因为直接作用于手术过程，失效后</w:t>
      </w:r>
      <w:r>
        <w:rPr>
          <w:rFonts w:hint="eastAsia"/>
          <w:lang w:eastAsia="zh-CN"/>
        </w:rPr>
        <w:t>危害性</w:t>
      </w:r>
      <w:r>
        <w:rPr>
          <w:rFonts w:hint="eastAsia"/>
        </w:rPr>
        <w:t>较高。据此特点，医疗机器人的所有设计均需进行 DFMECA</w:t>
      </w:r>
      <w:r>
        <w:t xml:space="preserve"> </w:t>
      </w:r>
      <w:r>
        <w:rPr>
          <w:rFonts w:hint="eastAsia"/>
        </w:rPr>
        <w:t>分析。文件仅体现某机械臂关节 1</w:t>
      </w:r>
      <w:r>
        <w:t xml:space="preserve"> </w:t>
      </w:r>
      <w:r>
        <w:rPr>
          <w:rFonts w:hint="eastAsia"/>
        </w:rPr>
        <w:t>的部分 DFMECA</w:t>
      </w:r>
      <w:r>
        <w:t xml:space="preserve"> </w:t>
      </w:r>
      <w:r>
        <w:rPr>
          <w:rFonts w:hint="eastAsia"/>
        </w:rPr>
        <w:t>过程，以作示例。</w:t>
      </w:r>
    </w:p>
    <w:p w14:paraId="34EFFC5A">
      <w:pPr>
        <w:pStyle w:val="78"/>
        <w:spacing w:before="120" w:after="120"/>
      </w:pPr>
      <w:bookmarkStart w:id="105" w:name="_Toc177558389"/>
      <w:bookmarkStart w:id="106" w:name="_Toc177558354"/>
      <w:r>
        <w:rPr>
          <w:rFonts w:hint="eastAsia"/>
        </w:rPr>
        <w:t>功能分析</w:t>
      </w:r>
      <w:bookmarkEnd w:id="105"/>
      <w:bookmarkEnd w:id="106"/>
    </w:p>
    <w:p w14:paraId="043D8096">
      <w:pPr>
        <w:pStyle w:val="56"/>
        <w:ind w:firstLine="420"/>
      </w:pPr>
      <w:r>
        <w:rPr>
          <w:rFonts w:hint="eastAsia"/>
        </w:rPr>
        <w:t>机械臂关节 1</w:t>
      </w:r>
      <w:r>
        <w:t xml:space="preserve"> </w:t>
      </w:r>
      <w:r>
        <w:rPr>
          <w:rFonts w:hint="eastAsia"/>
        </w:rPr>
        <w:t>的功能可描述如下：</w:t>
      </w:r>
    </w:p>
    <w:p w14:paraId="4E1B5C1E">
      <w:pPr>
        <w:pStyle w:val="56"/>
        <w:numPr>
          <w:ilvl w:val="0"/>
          <w:numId w:val="43"/>
        </w:numPr>
        <w:ind w:firstLineChars="0"/>
      </w:pPr>
      <w:r>
        <w:rPr>
          <w:rFonts w:hint="eastAsia"/>
        </w:rPr>
        <w:t>安装在调整臂末端（固定连接）；</w:t>
      </w:r>
    </w:p>
    <w:p w14:paraId="67BA806A">
      <w:pPr>
        <w:pStyle w:val="56"/>
        <w:numPr>
          <w:ilvl w:val="0"/>
          <w:numId w:val="43"/>
        </w:numPr>
        <w:ind w:firstLineChars="0"/>
      </w:pPr>
      <w:r>
        <w:rPr>
          <w:rFonts w:hint="eastAsia"/>
        </w:rPr>
        <w:t>提供工具臂 × 方向运动、定位、锁紧和调整（手动）；</w:t>
      </w:r>
    </w:p>
    <w:p w14:paraId="0EFFCE50">
      <w:pPr>
        <w:pStyle w:val="56"/>
        <w:numPr>
          <w:ilvl w:val="0"/>
          <w:numId w:val="43"/>
        </w:numPr>
        <w:ind w:firstLineChars="0"/>
      </w:pPr>
      <w:r>
        <w:rPr>
          <w:rFonts w:hint="eastAsia"/>
        </w:rPr>
        <w:t>锁紧力不小于××N ;</w:t>
      </w:r>
    </w:p>
    <w:p w14:paraId="74B00FDA">
      <w:pPr>
        <w:pStyle w:val="56"/>
        <w:ind w:firstLine="420"/>
      </w:pPr>
      <w:r>
        <w:rPr>
          <w:rFonts w:hint="eastAsia"/>
        </w:rPr>
        <w:t>……</w:t>
      </w:r>
    </w:p>
    <w:p w14:paraId="1FAFBB48">
      <w:pPr>
        <w:pStyle w:val="78"/>
        <w:spacing w:before="120" w:after="120"/>
      </w:pPr>
      <w:bookmarkStart w:id="107" w:name="_Toc177558390"/>
      <w:bookmarkStart w:id="108" w:name="_Toc177558355"/>
      <w:r>
        <w:rPr>
          <w:rFonts w:hint="eastAsia"/>
        </w:rPr>
        <w:t>失效模式识别</w:t>
      </w:r>
      <w:bookmarkEnd w:id="107"/>
      <w:bookmarkEnd w:id="108"/>
    </w:p>
    <w:p w14:paraId="3CCDEA45">
      <w:pPr>
        <w:pStyle w:val="56"/>
        <w:ind w:firstLine="420"/>
      </w:pPr>
      <w:r>
        <w:rPr>
          <w:rFonts w:hint="eastAsia"/>
        </w:rPr>
        <w:t>所识别的失效模式及该失效所属失效类别见表 A.1 。</w:t>
      </w:r>
    </w:p>
    <w:p w14:paraId="2E7A87C8">
      <w:pPr>
        <w:pStyle w:val="77"/>
        <w:spacing w:before="120" w:after="120"/>
      </w:pPr>
      <w:r>
        <w:rPr>
          <w:rFonts w:hint="eastAsia"/>
        </w:rPr>
        <w:t>机械臂关节 1</w:t>
      </w:r>
      <w:r>
        <w:t xml:space="preserve"> </w:t>
      </w:r>
      <w:r>
        <w:rPr>
          <w:rFonts w:hint="eastAsia"/>
        </w:rPr>
        <w:t>失效模式</w:t>
      </w:r>
    </w:p>
    <w:tbl>
      <w:tblPr>
        <w:tblStyle w:val="27"/>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20"/>
        <w:gridCol w:w="3125"/>
        <w:gridCol w:w="3125"/>
      </w:tblGrid>
      <w:tr w14:paraId="0C7E3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tblHeader/>
          <w:jc w:val="center"/>
        </w:trPr>
        <w:tc>
          <w:tcPr>
            <w:tcW w:w="1665" w:type="pct"/>
            <w:tcBorders>
              <w:top w:val="single" w:color="auto" w:sz="8" w:space="0"/>
              <w:bottom w:val="single" w:color="auto" w:sz="8" w:space="0"/>
            </w:tcBorders>
            <w:shd w:val="clear" w:color="auto" w:fill="auto"/>
            <w:vAlign w:val="center"/>
          </w:tcPr>
          <w:p w14:paraId="6C675FE6">
            <w:pPr>
              <w:pStyle w:val="178"/>
            </w:pPr>
            <w:r>
              <w:rPr>
                <w:rFonts w:hint="eastAsia"/>
              </w:rPr>
              <w:t>功能</w:t>
            </w:r>
          </w:p>
        </w:tc>
        <w:tc>
          <w:tcPr>
            <w:tcW w:w="1667" w:type="pct"/>
            <w:tcBorders>
              <w:top w:val="single" w:color="auto" w:sz="8" w:space="0"/>
              <w:bottom w:val="single" w:color="auto" w:sz="8" w:space="0"/>
            </w:tcBorders>
            <w:shd w:val="clear" w:color="auto" w:fill="auto"/>
            <w:vAlign w:val="center"/>
          </w:tcPr>
          <w:p w14:paraId="3FDA8043">
            <w:pPr>
              <w:pStyle w:val="178"/>
            </w:pPr>
            <w:r>
              <w:rPr>
                <w:rFonts w:hint="eastAsia"/>
              </w:rPr>
              <w:t>失效模式</w:t>
            </w:r>
          </w:p>
        </w:tc>
        <w:tc>
          <w:tcPr>
            <w:tcW w:w="1667" w:type="pct"/>
            <w:tcBorders>
              <w:top w:val="single" w:color="auto" w:sz="8" w:space="0"/>
              <w:bottom w:val="single" w:color="auto" w:sz="8" w:space="0"/>
            </w:tcBorders>
            <w:shd w:val="clear" w:color="auto" w:fill="auto"/>
            <w:vAlign w:val="center"/>
          </w:tcPr>
          <w:p w14:paraId="6A222AE0">
            <w:pPr>
              <w:pStyle w:val="178"/>
            </w:pPr>
            <w:r>
              <w:rPr>
                <w:rFonts w:hint="eastAsia"/>
              </w:rPr>
              <w:t>功能失效类别</w:t>
            </w:r>
          </w:p>
        </w:tc>
      </w:tr>
      <w:tr w14:paraId="75D1FB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1665" w:type="pct"/>
            <w:tcBorders>
              <w:top w:val="single" w:color="auto" w:sz="8" w:space="0"/>
            </w:tcBorders>
            <w:shd w:val="clear" w:color="auto" w:fill="auto"/>
            <w:vAlign w:val="center"/>
          </w:tcPr>
          <w:p w14:paraId="161FD15B">
            <w:pPr>
              <w:pStyle w:val="178"/>
            </w:pPr>
            <w:r>
              <w:rPr>
                <w:rFonts w:hint="eastAsia"/>
              </w:rPr>
              <w:t>安装在调整臂末端（固定连接）</w:t>
            </w:r>
          </w:p>
        </w:tc>
        <w:tc>
          <w:tcPr>
            <w:tcW w:w="1667" w:type="pct"/>
            <w:tcBorders>
              <w:top w:val="single" w:color="auto" w:sz="8" w:space="0"/>
            </w:tcBorders>
            <w:shd w:val="clear" w:color="auto" w:fill="auto"/>
            <w:vAlign w:val="center"/>
          </w:tcPr>
          <w:p w14:paraId="7FAF98DB">
            <w:pPr>
              <w:pStyle w:val="178"/>
            </w:pPr>
            <w:r>
              <w:rPr>
                <w:rFonts w:hint="eastAsia"/>
              </w:rPr>
              <w:t>掉落</w:t>
            </w:r>
          </w:p>
        </w:tc>
        <w:tc>
          <w:tcPr>
            <w:tcW w:w="1667" w:type="pct"/>
            <w:tcBorders>
              <w:top w:val="single" w:color="auto" w:sz="8" w:space="0"/>
            </w:tcBorders>
            <w:shd w:val="clear" w:color="auto" w:fill="auto"/>
            <w:vAlign w:val="center"/>
          </w:tcPr>
          <w:p w14:paraId="4F5F0592">
            <w:pPr>
              <w:pStyle w:val="178"/>
            </w:pPr>
            <w:r>
              <w:rPr>
                <w:rFonts w:hint="eastAsia"/>
              </w:rPr>
              <w:t>功能丧失</w:t>
            </w:r>
          </w:p>
        </w:tc>
      </w:tr>
      <w:tr w14:paraId="5F98B5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1665" w:type="pct"/>
            <w:shd w:val="clear" w:color="auto" w:fill="auto"/>
            <w:vAlign w:val="center"/>
          </w:tcPr>
          <w:p w14:paraId="2AC01B42">
            <w:pPr>
              <w:pStyle w:val="178"/>
            </w:pPr>
            <w:r>
              <w:rPr>
                <w:rFonts w:hint="eastAsia"/>
              </w:rPr>
              <w:t>提供工具臂 × 方向运动、定位、锁紧和调整（手动）</w:t>
            </w:r>
          </w:p>
        </w:tc>
        <w:tc>
          <w:tcPr>
            <w:tcW w:w="1667" w:type="pct"/>
            <w:shd w:val="clear" w:color="auto" w:fill="auto"/>
            <w:vAlign w:val="center"/>
          </w:tcPr>
          <w:p w14:paraId="1B03CCD5">
            <w:pPr>
              <w:pStyle w:val="178"/>
            </w:pPr>
            <w:r>
              <w:rPr>
                <w:rFonts w:hint="eastAsia"/>
              </w:rPr>
              <w:t>不能手动调整</w:t>
            </w:r>
          </w:p>
        </w:tc>
        <w:tc>
          <w:tcPr>
            <w:tcW w:w="1667" w:type="pct"/>
            <w:shd w:val="clear" w:color="auto" w:fill="auto"/>
            <w:vAlign w:val="center"/>
          </w:tcPr>
          <w:p w14:paraId="616460F3">
            <w:pPr>
              <w:pStyle w:val="178"/>
            </w:pPr>
            <w:r>
              <w:rPr>
                <w:rFonts w:hint="eastAsia"/>
              </w:rPr>
              <w:t>功能丧失</w:t>
            </w:r>
          </w:p>
        </w:tc>
      </w:tr>
      <w:tr w14:paraId="1D887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665" w:type="pct"/>
            <w:shd w:val="clear" w:color="auto" w:fill="auto"/>
            <w:vAlign w:val="center"/>
          </w:tcPr>
          <w:p w14:paraId="1A517F6F">
            <w:pPr>
              <w:pStyle w:val="178"/>
            </w:pPr>
            <w:r>
              <w:rPr>
                <w:rFonts w:hint="eastAsia"/>
              </w:rPr>
              <w:t>锁紧力不小于××N</w:t>
            </w:r>
          </w:p>
        </w:tc>
        <w:tc>
          <w:tcPr>
            <w:tcW w:w="1667" w:type="pct"/>
            <w:shd w:val="clear" w:color="auto" w:fill="auto"/>
            <w:vAlign w:val="center"/>
          </w:tcPr>
          <w:p w14:paraId="26F118F2">
            <w:pPr>
              <w:pStyle w:val="178"/>
            </w:pPr>
            <w:r>
              <w:rPr>
                <w:rFonts w:hint="eastAsia"/>
              </w:rPr>
              <w:t>多次操作后，锁紧后晃动</w:t>
            </w:r>
          </w:p>
        </w:tc>
        <w:tc>
          <w:tcPr>
            <w:tcW w:w="1667" w:type="pct"/>
            <w:shd w:val="clear" w:color="auto" w:fill="auto"/>
            <w:vAlign w:val="center"/>
          </w:tcPr>
          <w:p w14:paraId="6D946498">
            <w:pPr>
              <w:pStyle w:val="178"/>
            </w:pPr>
            <w:r>
              <w:rPr>
                <w:rFonts w:hint="eastAsia"/>
              </w:rPr>
              <w:t>功能退化</w:t>
            </w:r>
          </w:p>
        </w:tc>
      </w:tr>
      <w:tr w14:paraId="13F84D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665" w:type="pct"/>
            <w:shd w:val="clear" w:color="auto" w:fill="auto"/>
            <w:vAlign w:val="center"/>
          </w:tcPr>
          <w:p w14:paraId="4BFE602F">
            <w:pPr>
              <w:pStyle w:val="178"/>
            </w:pPr>
            <w:r>
              <w:rPr>
                <w:rFonts w:hint="eastAsia"/>
              </w:rPr>
              <w:t>……</w:t>
            </w:r>
          </w:p>
        </w:tc>
        <w:tc>
          <w:tcPr>
            <w:tcW w:w="1667" w:type="pct"/>
            <w:shd w:val="clear" w:color="auto" w:fill="auto"/>
            <w:vAlign w:val="center"/>
          </w:tcPr>
          <w:p w14:paraId="5A8F144E">
            <w:pPr>
              <w:pStyle w:val="178"/>
            </w:pPr>
          </w:p>
        </w:tc>
        <w:tc>
          <w:tcPr>
            <w:tcW w:w="1667" w:type="pct"/>
            <w:shd w:val="clear" w:color="auto" w:fill="auto"/>
            <w:vAlign w:val="center"/>
          </w:tcPr>
          <w:p w14:paraId="4FD555F6">
            <w:pPr>
              <w:pStyle w:val="178"/>
            </w:pPr>
          </w:p>
        </w:tc>
      </w:tr>
    </w:tbl>
    <w:p w14:paraId="6E538309">
      <w:pPr>
        <w:pStyle w:val="56"/>
        <w:ind w:firstLine="0" w:firstLineChars="0"/>
      </w:pPr>
    </w:p>
    <w:p w14:paraId="7A738EE6">
      <w:pPr>
        <w:pStyle w:val="78"/>
        <w:spacing w:before="120" w:after="120"/>
      </w:pPr>
      <w:bookmarkStart w:id="109" w:name="_Toc177558391"/>
      <w:bookmarkStart w:id="110" w:name="_Toc177558356"/>
      <w:r>
        <w:rPr>
          <w:rFonts w:hint="eastAsia"/>
        </w:rPr>
        <w:t>失效原因分析</w:t>
      </w:r>
      <w:bookmarkEnd w:id="109"/>
      <w:bookmarkEnd w:id="110"/>
    </w:p>
    <w:p w14:paraId="0BA46D52">
      <w:pPr>
        <w:pStyle w:val="56"/>
        <w:ind w:firstLine="420"/>
      </w:pPr>
      <w:r>
        <w:rPr>
          <w:rFonts w:hint="eastAsia"/>
        </w:rPr>
        <w:t>根据上文失效模式，识别到的失效原因见表 A.2 。</w:t>
      </w:r>
    </w:p>
    <w:p w14:paraId="66AAD024">
      <w:pPr>
        <w:pStyle w:val="56"/>
        <w:ind w:firstLine="420"/>
      </w:pPr>
      <w:r>
        <w:rPr>
          <w:rFonts w:hint="eastAsia"/>
        </w:rPr>
        <w:t>一个失效往往对应多个失效原因，本文仅为示例，针对每种失效，仅列出一个失效原因。</w:t>
      </w:r>
    </w:p>
    <w:p w14:paraId="31974D0B">
      <w:pPr>
        <w:pStyle w:val="77"/>
        <w:spacing w:before="120" w:after="120"/>
      </w:pPr>
      <w:r>
        <w:rPr>
          <w:rFonts w:hint="eastAsia"/>
        </w:rPr>
        <w:t>机械臂关节 1</w:t>
      </w:r>
      <w:r>
        <w:t xml:space="preserve"> </w:t>
      </w:r>
      <w:r>
        <w:rPr>
          <w:rFonts w:hint="eastAsia"/>
        </w:rPr>
        <w:t>失效原因</w:t>
      </w:r>
    </w:p>
    <w:tbl>
      <w:tblPr>
        <w:tblStyle w:val="27"/>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20"/>
        <w:gridCol w:w="3125"/>
        <w:gridCol w:w="3125"/>
      </w:tblGrid>
      <w:tr w14:paraId="7057A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tblHeader/>
          <w:jc w:val="center"/>
        </w:trPr>
        <w:tc>
          <w:tcPr>
            <w:tcW w:w="1665" w:type="pct"/>
            <w:tcBorders>
              <w:top w:val="single" w:color="auto" w:sz="8" w:space="0"/>
              <w:bottom w:val="single" w:color="auto" w:sz="8" w:space="0"/>
            </w:tcBorders>
            <w:shd w:val="clear" w:color="auto" w:fill="auto"/>
            <w:vAlign w:val="center"/>
          </w:tcPr>
          <w:p w14:paraId="6D866A12">
            <w:pPr>
              <w:pStyle w:val="178"/>
            </w:pPr>
            <w:r>
              <w:t>失效模式</w:t>
            </w:r>
          </w:p>
        </w:tc>
        <w:tc>
          <w:tcPr>
            <w:tcW w:w="1667" w:type="pct"/>
            <w:tcBorders>
              <w:top w:val="single" w:color="auto" w:sz="8" w:space="0"/>
              <w:bottom w:val="single" w:color="auto" w:sz="8" w:space="0"/>
            </w:tcBorders>
            <w:shd w:val="clear" w:color="auto" w:fill="auto"/>
            <w:vAlign w:val="center"/>
          </w:tcPr>
          <w:p w14:paraId="7EE8605A">
            <w:pPr>
              <w:pStyle w:val="178"/>
            </w:pPr>
            <w:r>
              <w:t>失效原因</w:t>
            </w:r>
          </w:p>
        </w:tc>
        <w:tc>
          <w:tcPr>
            <w:tcW w:w="1667" w:type="pct"/>
            <w:tcBorders>
              <w:top w:val="single" w:color="auto" w:sz="8" w:space="0"/>
              <w:bottom w:val="single" w:color="auto" w:sz="8" w:space="0"/>
            </w:tcBorders>
            <w:shd w:val="clear" w:color="auto" w:fill="auto"/>
            <w:vAlign w:val="center"/>
          </w:tcPr>
          <w:p w14:paraId="5AE18C92">
            <w:pPr>
              <w:pStyle w:val="178"/>
            </w:pPr>
            <w:r>
              <w:t>失效原因类别</w:t>
            </w:r>
          </w:p>
        </w:tc>
      </w:tr>
      <w:tr w14:paraId="7CE9C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1665" w:type="pct"/>
            <w:tcBorders>
              <w:top w:val="single" w:color="auto" w:sz="8" w:space="0"/>
            </w:tcBorders>
            <w:shd w:val="clear" w:color="auto" w:fill="auto"/>
            <w:vAlign w:val="center"/>
          </w:tcPr>
          <w:p w14:paraId="1718E9A7">
            <w:pPr>
              <w:pStyle w:val="178"/>
            </w:pPr>
            <w:r>
              <w:t>掉落</w:t>
            </w:r>
          </w:p>
        </w:tc>
        <w:tc>
          <w:tcPr>
            <w:tcW w:w="1667" w:type="pct"/>
            <w:tcBorders>
              <w:top w:val="single" w:color="auto" w:sz="8" w:space="0"/>
            </w:tcBorders>
            <w:shd w:val="clear" w:color="auto" w:fill="auto"/>
            <w:vAlign w:val="center"/>
          </w:tcPr>
          <w:p w14:paraId="2C458B56">
            <w:pPr>
              <w:pStyle w:val="178"/>
            </w:pPr>
            <w:r>
              <w:t>关节 1 与调整臂连接组件强度不足，受过载或冲击而 断裂</w:t>
            </w:r>
          </w:p>
        </w:tc>
        <w:tc>
          <w:tcPr>
            <w:tcW w:w="1667" w:type="pct"/>
            <w:tcBorders>
              <w:top w:val="single" w:color="auto" w:sz="8" w:space="0"/>
            </w:tcBorders>
            <w:shd w:val="clear" w:color="auto" w:fill="auto"/>
            <w:vAlign w:val="center"/>
          </w:tcPr>
          <w:p w14:paraId="78CDBE43">
            <w:pPr>
              <w:pStyle w:val="178"/>
            </w:pPr>
            <w:r>
              <w:t>材料强度问题</w:t>
            </w:r>
          </w:p>
        </w:tc>
      </w:tr>
      <w:tr w14:paraId="06E35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1665" w:type="pct"/>
            <w:shd w:val="clear" w:color="auto" w:fill="auto"/>
            <w:vAlign w:val="center"/>
          </w:tcPr>
          <w:p w14:paraId="5C2DB891">
            <w:pPr>
              <w:pStyle w:val="178"/>
            </w:pPr>
            <w:r>
              <w:rPr>
                <w:rFonts w:hint="eastAsia"/>
              </w:rPr>
              <w:t>不能手动调整</w:t>
            </w:r>
          </w:p>
        </w:tc>
        <w:tc>
          <w:tcPr>
            <w:tcW w:w="1667" w:type="pct"/>
            <w:shd w:val="clear" w:color="auto" w:fill="auto"/>
            <w:vAlign w:val="center"/>
          </w:tcPr>
          <w:p w14:paraId="369DA435">
            <w:pPr>
              <w:pStyle w:val="178"/>
            </w:pPr>
            <w:r>
              <w:rPr>
                <w:rFonts w:hint="eastAsia"/>
              </w:rPr>
              <w:t>模组动力输入轴安装紧固件脱落，卡死关节</w:t>
            </w:r>
          </w:p>
        </w:tc>
        <w:tc>
          <w:tcPr>
            <w:tcW w:w="1667" w:type="pct"/>
            <w:shd w:val="clear" w:color="auto" w:fill="auto"/>
            <w:vAlign w:val="center"/>
          </w:tcPr>
          <w:p w14:paraId="32F70FB3">
            <w:pPr>
              <w:pStyle w:val="178"/>
            </w:pPr>
            <w:r>
              <w:rPr>
                <w:rFonts w:hint="eastAsia"/>
              </w:rPr>
              <w:t>公差问题</w:t>
            </w:r>
          </w:p>
        </w:tc>
      </w:tr>
      <w:tr w14:paraId="71659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665" w:type="pct"/>
            <w:shd w:val="clear" w:color="auto" w:fill="auto"/>
            <w:vAlign w:val="center"/>
          </w:tcPr>
          <w:p w14:paraId="54C480B8">
            <w:pPr>
              <w:pStyle w:val="178"/>
            </w:pPr>
            <w:r>
              <w:rPr>
                <w:rFonts w:hint="eastAsia"/>
              </w:rPr>
              <w:t>多次操作后，锁紧后晃动</w:t>
            </w:r>
          </w:p>
        </w:tc>
        <w:tc>
          <w:tcPr>
            <w:tcW w:w="1667" w:type="pct"/>
            <w:shd w:val="clear" w:color="auto" w:fill="auto"/>
            <w:vAlign w:val="center"/>
          </w:tcPr>
          <w:p w14:paraId="64CAB8BF">
            <w:pPr>
              <w:pStyle w:val="178"/>
            </w:pPr>
            <w:r>
              <w:rPr>
                <w:rFonts w:hint="eastAsia"/>
              </w:rPr>
              <w:t>转动抱闸齿轮与关节输出齿轮磨损</w:t>
            </w:r>
          </w:p>
        </w:tc>
        <w:tc>
          <w:tcPr>
            <w:tcW w:w="1667" w:type="pct"/>
            <w:shd w:val="clear" w:color="auto" w:fill="auto"/>
            <w:vAlign w:val="center"/>
          </w:tcPr>
          <w:p w14:paraId="20210558">
            <w:pPr>
              <w:pStyle w:val="178"/>
            </w:pPr>
            <w:r>
              <w:rPr>
                <w:rFonts w:hint="eastAsia"/>
              </w:rPr>
              <w:t>设计寿命不足</w:t>
            </w:r>
          </w:p>
        </w:tc>
      </w:tr>
      <w:tr w14:paraId="146A7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665" w:type="pct"/>
            <w:shd w:val="clear" w:color="auto" w:fill="auto"/>
            <w:vAlign w:val="center"/>
          </w:tcPr>
          <w:p w14:paraId="5BABC60A">
            <w:pPr>
              <w:pStyle w:val="178"/>
            </w:pPr>
            <w:r>
              <w:rPr>
                <w:rFonts w:hint="eastAsia"/>
              </w:rPr>
              <w:t>……</w:t>
            </w:r>
          </w:p>
        </w:tc>
        <w:tc>
          <w:tcPr>
            <w:tcW w:w="1667" w:type="pct"/>
            <w:shd w:val="clear" w:color="auto" w:fill="auto"/>
            <w:vAlign w:val="center"/>
          </w:tcPr>
          <w:p w14:paraId="4863EDE8">
            <w:pPr>
              <w:pStyle w:val="178"/>
            </w:pPr>
          </w:p>
        </w:tc>
        <w:tc>
          <w:tcPr>
            <w:tcW w:w="1667" w:type="pct"/>
            <w:shd w:val="clear" w:color="auto" w:fill="auto"/>
            <w:vAlign w:val="center"/>
          </w:tcPr>
          <w:p w14:paraId="31942A25">
            <w:pPr>
              <w:pStyle w:val="178"/>
            </w:pPr>
          </w:p>
        </w:tc>
      </w:tr>
    </w:tbl>
    <w:p w14:paraId="1950E105">
      <w:pPr>
        <w:pStyle w:val="78"/>
        <w:spacing w:before="120" w:after="120"/>
      </w:pPr>
      <w:bookmarkStart w:id="111" w:name="_Toc177558392"/>
      <w:bookmarkStart w:id="112" w:name="_Toc177558357"/>
      <w:r>
        <w:rPr>
          <w:rFonts w:hint="eastAsia"/>
        </w:rPr>
        <w:t>失效影响分析</w:t>
      </w:r>
      <w:bookmarkEnd w:id="111"/>
      <w:bookmarkEnd w:id="112"/>
    </w:p>
    <w:p w14:paraId="696DCBBF">
      <w:pPr>
        <w:pStyle w:val="56"/>
        <w:ind w:firstLine="420"/>
      </w:pPr>
      <w:r>
        <w:rPr>
          <w:rFonts w:hint="eastAsia"/>
        </w:rPr>
        <w:t>根据所识别的失效模式，分析所得失效影响见表</w:t>
      </w:r>
      <w:r>
        <w:t xml:space="preserve"> </w:t>
      </w:r>
      <w:r>
        <w:rPr>
          <w:rFonts w:hint="eastAsia"/>
        </w:rPr>
        <w:t>A.3。</w:t>
      </w:r>
    </w:p>
    <w:p w14:paraId="4CB2C79B">
      <w:pPr>
        <w:pStyle w:val="77"/>
        <w:spacing w:before="120" w:after="120"/>
      </w:pPr>
      <w:r>
        <w:rPr>
          <w:rFonts w:hint="eastAsia"/>
        </w:rPr>
        <w:t>机械臂关节 1 失效影响</w:t>
      </w:r>
    </w:p>
    <w:tbl>
      <w:tblPr>
        <w:tblStyle w:val="27"/>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74"/>
        <w:gridCol w:w="2375"/>
        <w:gridCol w:w="2289"/>
        <w:gridCol w:w="2332"/>
      </w:tblGrid>
      <w:tr w14:paraId="09A28F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tblHeader/>
          <w:jc w:val="center"/>
        </w:trPr>
        <w:tc>
          <w:tcPr>
            <w:tcW w:w="1267" w:type="pct"/>
            <w:tcBorders>
              <w:top w:val="single" w:color="auto" w:sz="8" w:space="0"/>
              <w:bottom w:val="single" w:color="auto" w:sz="8" w:space="0"/>
            </w:tcBorders>
            <w:shd w:val="clear" w:color="auto" w:fill="auto"/>
            <w:vAlign w:val="center"/>
          </w:tcPr>
          <w:p w14:paraId="064F9AF7">
            <w:pPr>
              <w:pStyle w:val="178"/>
            </w:pPr>
            <w:r>
              <w:rPr>
                <w:rFonts w:hint="eastAsia"/>
              </w:rPr>
              <w:t>失效模式</w:t>
            </w:r>
          </w:p>
        </w:tc>
        <w:tc>
          <w:tcPr>
            <w:tcW w:w="1267" w:type="pct"/>
            <w:tcBorders>
              <w:top w:val="single" w:color="auto" w:sz="8" w:space="0"/>
              <w:bottom w:val="single" w:color="auto" w:sz="8" w:space="0"/>
            </w:tcBorders>
            <w:shd w:val="clear" w:color="auto" w:fill="auto"/>
            <w:vAlign w:val="center"/>
          </w:tcPr>
          <w:p w14:paraId="663EBA0D">
            <w:pPr>
              <w:pStyle w:val="178"/>
            </w:pPr>
            <w:r>
              <w:rPr>
                <w:rFonts w:hint="eastAsia"/>
              </w:rPr>
              <w:t>局部影响</w:t>
            </w:r>
          </w:p>
        </w:tc>
        <w:tc>
          <w:tcPr>
            <w:tcW w:w="1221" w:type="pct"/>
            <w:tcBorders>
              <w:top w:val="single" w:color="auto" w:sz="8" w:space="0"/>
              <w:bottom w:val="single" w:color="auto" w:sz="8" w:space="0"/>
            </w:tcBorders>
            <w:vAlign w:val="center"/>
          </w:tcPr>
          <w:p w14:paraId="3438A201">
            <w:pPr>
              <w:pStyle w:val="178"/>
            </w:pPr>
            <w:r>
              <w:rPr>
                <w:rFonts w:hint="eastAsia"/>
              </w:rPr>
              <w:t>最终影响</w:t>
            </w:r>
          </w:p>
        </w:tc>
        <w:tc>
          <w:tcPr>
            <w:tcW w:w="1244" w:type="pct"/>
            <w:tcBorders>
              <w:top w:val="single" w:color="auto" w:sz="8" w:space="0"/>
              <w:bottom w:val="single" w:color="auto" w:sz="8" w:space="0"/>
            </w:tcBorders>
            <w:shd w:val="clear" w:color="auto" w:fill="auto"/>
            <w:vAlign w:val="center"/>
          </w:tcPr>
          <w:p w14:paraId="1D3BD370">
            <w:pPr>
              <w:pStyle w:val="178"/>
            </w:pPr>
            <w:r>
              <w:rPr>
                <w:rFonts w:hint="eastAsia"/>
              </w:rPr>
              <w:t>失效影响类别</w:t>
            </w:r>
          </w:p>
        </w:tc>
      </w:tr>
      <w:tr w14:paraId="0A478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1267" w:type="pct"/>
            <w:tcBorders>
              <w:top w:val="single" w:color="auto" w:sz="8" w:space="0"/>
            </w:tcBorders>
            <w:shd w:val="clear" w:color="auto" w:fill="auto"/>
            <w:vAlign w:val="center"/>
          </w:tcPr>
          <w:p w14:paraId="0E538A11">
            <w:pPr>
              <w:pStyle w:val="178"/>
            </w:pPr>
            <w:r>
              <w:rPr>
                <w:rFonts w:hint="eastAsia"/>
              </w:rPr>
              <w:t>掉落</w:t>
            </w:r>
          </w:p>
        </w:tc>
        <w:tc>
          <w:tcPr>
            <w:tcW w:w="1267" w:type="pct"/>
            <w:tcBorders>
              <w:top w:val="single" w:color="auto" w:sz="8" w:space="0"/>
            </w:tcBorders>
            <w:shd w:val="clear" w:color="auto" w:fill="auto"/>
            <w:vAlign w:val="center"/>
          </w:tcPr>
          <w:p w14:paraId="7D1E64E4">
            <w:pPr>
              <w:pStyle w:val="178"/>
            </w:pPr>
            <w:r>
              <w:rPr>
                <w:rFonts w:hint="eastAsia"/>
              </w:rPr>
              <w:t>机械臂掉落</w:t>
            </w:r>
          </w:p>
        </w:tc>
        <w:tc>
          <w:tcPr>
            <w:tcW w:w="1221" w:type="pct"/>
            <w:tcBorders>
              <w:top w:val="single" w:color="auto" w:sz="8" w:space="0"/>
            </w:tcBorders>
            <w:vAlign w:val="center"/>
          </w:tcPr>
          <w:p w14:paraId="53C3E409">
            <w:pPr>
              <w:pStyle w:val="178"/>
            </w:pPr>
            <w:r>
              <w:rPr>
                <w:rFonts w:hint="eastAsia"/>
              </w:rPr>
              <w:t>手术中掉落造成死亡</w:t>
            </w:r>
          </w:p>
        </w:tc>
        <w:tc>
          <w:tcPr>
            <w:tcW w:w="1244" w:type="pct"/>
            <w:tcBorders>
              <w:top w:val="single" w:color="auto" w:sz="8" w:space="0"/>
            </w:tcBorders>
            <w:shd w:val="clear" w:color="auto" w:fill="auto"/>
            <w:vAlign w:val="center"/>
          </w:tcPr>
          <w:p w14:paraId="54D3AF30">
            <w:pPr>
              <w:pStyle w:val="178"/>
            </w:pPr>
            <w:r>
              <w:rPr>
                <w:rFonts w:hint="eastAsia"/>
              </w:rPr>
              <w:t>对最终用户影响</w:t>
            </w:r>
          </w:p>
        </w:tc>
      </w:tr>
      <w:tr w14:paraId="199D6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1267" w:type="pct"/>
            <w:shd w:val="clear" w:color="auto" w:fill="auto"/>
            <w:vAlign w:val="center"/>
          </w:tcPr>
          <w:p w14:paraId="118D97C0">
            <w:pPr>
              <w:pStyle w:val="178"/>
            </w:pPr>
            <w:r>
              <w:rPr>
                <w:rFonts w:hint="eastAsia"/>
              </w:rPr>
              <w:t>不能手动调整</w:t>
            </w:r>
          </w:p>
        </w:tc>
        <w:tc>
          <w:tcPr>
            <w:tcW w:w="1267" w:type="pct"/>
            <w:shd w:val="clear" w:color="auto" w:fill="auto"/>
            <w:vAlign w:val="center"/>
          </w:tcPr>
          <w:p w14:paraId="7B3A3E94">
            <w:pPr>
              <w:pStyle w:val="178"/>
            </w:pPr>
            <w:r>
              <w:rPr>
                <w:rFonts w:hint="eastAsia"/>
              </w:rPr>
              <w:t>机械臂无法调整</w:t>
            </w:r>
          </w:p>
        </w:tc>
        <w:tc>
          <w:tcPr>
            <w:tcW w:w="1221" w:type="pct"/>
            <w:vAlign w:val="center"/>
          </w:tcPr>
          <w:p w14:paraId="5D9E0A1B">
            <w:pPr>
              <w:pStyle w:val="178"/>
            </w:pPr>
            <w:r>
              <w:rPr>
                <w:rFonts w:hint="eastAsia"/>
              </w:rPr>
              <w:t>显著延长手术时间</w:t>
            </w:r>
          </w:p>
        </w:tc>
        <w:tc>
          <w:tcPr>
            <w:tcW w:w="1244" w:type="pct"/>
            <w:shd w:val="clear" w:color="auto" w:fill="auto"/>
            <w:vAlign w:val="center"/>
          </w:tcPr>
          <w:p w14:paraId="0D54F8F0">
            <w:pPr>
              <w:pStyle w:val="178"/>
            </w:pPr>
            <w:r>
              <w:rPr>
                <w:rFonts w:hint="eastAsia"/>
              </w:rPr>
              <w:t>对最终用户影响</w:t>
            </w:r>
          </w:p>
        </w:tc>
      </w:tr>
      <w:tr w14:paraId="26DBE6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67" w:type="pct"/>
            <w:shd w:val="clear" w:color="auto" w:fill="auto"/>
            <w:vAlign w:val="center"/>
          </w:tcPr>
          <w:p w14:paraId="4A8C9EA7">
            <w:pPr>
              <w:pStyle w:val="178"/>
            </w:pPr>
            <w:r>
              <w:rPr>
                <w:rFonts w:hint="eastAsia"/>
              </w:rPr>
              <w:t>多次操作后，锁紧后晃动</w:t>
            </w:r>
          </w:p>
        </w:tc>
        <w:tc>
          <w:tcPr>
            <w:tcW w:w="1267" w:type="pct"/>
            <w:shd w:val="clear" w:color="auto" w:fill="auto"/>
            <w:vAlign w:val="center"/>
          </w:tcPr>
          <w:p w14:paraId="06DF1E5D">
            <w:pPr>
              <w:pStyle w:val="178"/>
            </w:pPr>
            <w:r>
              <w:rPr>
                <w:rFonts w:hint="eastAsia"/>
              </w:rPr>
              <w:t>机械臂无法锁紧</w:t>
            </w:r>
          </w:p>
        </w:tc>
        <w:tc>
          <w:tcPr>
            <w:tcW w:w="1221" w:type="pct"/>
            <w:vAlign w:val="center"/>
          </w:tcPr>
          <w:p w14:paraId="73363266">
            <w:pPr>
              <w:pStyle w:val="178"/>
            </w:pPr>
            <w:r>
              <w:rPr>
                <w:rFonts w:hint="eastAsia"/>
              </w:rPr>
              <w:t>显著延长手术时间</w:t>
            </w:r>
          </w:p>
        </w:tc>
        <w:tc>
          <w:tcPr>
            <w:tcW w:w="1244" w:type="pct"/>
            <w:shd w:val="clear" w:color="auto" w:fill="auto"/>
            <w:vAlign w:val="center"/>
          </w:tcPr>
          <w:p w14:paraId="0F7F1D5A">
            <w:pPr>
              <w:pStyle w:val="178"/>
            </w:pPr>
            <w:r>
              <w:rPr>
                <w:rFonts w:hint="eastAsia"/>
              </w:rPr>
              <w:t>对最终用户影响</w:t>
            </w:r>
          </w:p>
        </w:tc>
      </w:tr>
      <w:tr w14:paraId="43898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67" w:type="pct"/>
            <w:shd w:val="clear" w:color="auto" w:fill="auto"/>
            <w:vAlign w:val="center"/>
          </w:tcPr>
          <w:p w14:paraId="309504E3">
            <w:pPr>
              <w:pStyle w:val="178"/>
            </w:pPr>
            <w:r>
              <w:rPr>
                <w:rFonts w:hint="eastAsia"/>
              </w:rPr>
              <w:t>……</w:t>
            </w:r>
          </w:p>
        </w:tc>
        <w:tc>
          <w:tcPr>
            <w:tcW w:w="1267" w:type="pct"/>
            <w:shd w:val="clear" w:color="auto" w:fill="auto"/>
            <w:vAlign w:val="center"/>
          </w:tcPr>
          <w:p w14:paraId="3D003261">
            <w:pPr>
              <w:pStyle w:val="178"/>
            </w:pPr>
          </w:p>
        </w:tc>
        <w:tc>
          <w:tcPr>
            <w:tcW w:w="1221" w:type="pct"/>
            <w:vAlign w:val="center"/>
          </w:tcPr>
          <w:p w14:paraId="48E835C7">
            <w:pPr>
              <w:pStyle w:val="178"/>
            </w:pPr>
          </w:p>
        </w:tc>
        <w:tc>
          <w:tcPr>
            <w:tcW w:w="1244" w:type="pct"/>
            <w:shd w:val="clear" w:color="auto" w:fill="auto"/>
            <w:vAlign w:val="center"/>
          </w:tcPr>
          <w:p w14:paraId="1B6F93D6">
            <w:pPr>
              <w:pStyle w:val="178"/>
            </w:pPr>
          </w:p>
        </w:tc>
      </w:tr>
    </w:tbl>
    <w:p w14:paraId="65BDF347">
      <w:pPr>
        <w:pStyle w:val="78"/>
        <w:spacing w:before="120" w:after="120"/>
      </w:pPr>
      <w:bookmarkStart w:id="113" w:name="_Toc177558393"/>
      <w:bookmarkStart w:id="114" w:name="_Toc177558358"/>
      <w:r>
        <w:rPr>
          <w:rFonts w:hint="eastAsia"/>
          <w:lang w:eastAsia="zh-CN"/>
        </w:rPr>
        <w:t>危害性</w:t>
      </w:r>
      <w:r>
        <w:rPr>
          <w:rFonts w:hint="eastAsia"/>
        </w:rPr>
        <w:t>分析</w:t>
      </w:r>
      <w:bookmarkEnd w:id="113"/>
      <w:bookmarkEnd w:id="114"/>
    </w:p>
    <w:p w14:paraId="7377EE04">
      <w:pPr>
        <w:pStyle w:val="56"/>
        <w:ind w:firstLine="420"/>
        <w:rPr>
          <w:rFonts w:hint="eastAsia"/>
        </w:rPr>
      </w:pPr>
      <w:r>
        <w:rPr>
          <w:rFonts w:hint="eastAsia"/>
        </w:rPr>
        <w:t>医疗机器人的</w:t>
      </w:r>
      <w:r>
        <w:rPr>
          <w:rFonts w:hint="eastAsia"/>
          <w:lang w:eastAsia="zh-CN"/>
        </w:rPr>
        <w:t>严重度</w:t>
      </w:r>
      <w:r>
        <w:rPr>
          <w:rFonts w:hint="eastAsia"/>
        </w:rPr>
        <w:t>(S)、发生概率(O)、可探测度(D)等级参见表 A.4～A.6。</w:t>
      </w:r>
    </w:p>
    <w:p w14:paraId="2A870CC7">
      <w:pPr>
        <w:pStyle w:val="77"/>
        <w:spacing w:before="120" w:after="120"/>
        <w:rPr>
          <w:rFonts w:hint="eastAsia"/>
        </w:rPr>
      </w:pPr>
      <w:r>
        <w:rPr>
          <w:rFonts w:hint="eastAsia"/>
          <w:highlight w:val="none"/>
        </w:rPr>
        <w:t>医疗机器人</w:t>
      </w:r>
      <w:r>
        <w:rPr>
          <w:rFonts w:hint="eastAsia"/>
          <w:highlight w:val="none"/>
          <w:lang w:eastAsia="zh-CN"/>
        </w:rPr>
        <w:t>严重度</w:t>
      </w:r>
      <w:r>
        <w:rPr>
          <w:rFonts w:hint="eastAsia"/>
          <w:highlight w:val="none"/>
        </w:rPr>
        <w:t>等级</w:t>
      </w:r>
    </w:p>
    <w:tbl>
      <w:tblPr>
        <w:tblStyle w:val="27"/>
        <w:tblpPr w:leftFromText="181" w:rightFromText="181" w:vertAnchor="text" w:horzAnchor="page" w:tblpX="1418" w:tblpY="103"/>
        <w:tblOverlap w:val="never"/>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79"/>
        <w:gridCol w:w="2354"/>
        <w:gridCol w:w="4639"/>
      </w:tblGrid>
      <w:tr w14:paraId="10B36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5" w:hRule="atLeast"/>
          <w:tblHeader/>
        </w:trPr>
        <w:tc>
          <w:tcPr>
            <w:tcW w:w="1269" w:type="pct"/>
            <w:tcBorders>
              <w:top w:val="single" w:color="auto" w:sz="8" w:space="0"/>
              <w:bottom w:val="single" w:color="auto" w:sz="8" w:space="0"/>
            </w:tcBorders>
            <w:shd w:val="clear" w:color="auto" w:fill="auto"/>
            <w:vAlign w:val="center"/>
          </w:tcPr>
          <w:p w14:paraId="62047098">
            <w:pPr>
              <w:pStyle w:val="178"/>
              <w:rPr>
                <w:highlight w:val="none"/>
              </w:rPr>
            </w:pPr>
            <w:r>
              <w:rPr>
                <w:highlight w:val="none"/>
              </w:rPr>
              <w:t>等级</w:t>
            </w:r>
          </w:p>
        </w:tc>
        <w:tc>
          <w:tcPr>
            <w:tcW w:w="1256" w:type="pct"/>
            <w:tcBorders>
              <w:top w:val="single" w:color="auto" w:sz="8" w:space="0"/>
              <w:bottom w:val="single" w:color="auto" w:sz="8" w:space="0"/>
            </w:tcBorders>
            <w:shd w:val="clear" w:color="auto" w:fill="auto"/>
            <w:vAlign w:val="center"/>
          </w:tcPr>
          <w:p w14:paraId="7316DD92">
            <w:pPr>
              <w:pStyle w:val="178"/>
              <w:rPr>
                <w:highlight w:val="none"/>
              </w:rPr>
            </w:pPr>
            <w:r>
              <w:rPr>
                <w:highlight w:val="none"/>
              </w:rPr>
              <w:t>定性描述</w:t>
            </w:r>
          </w:p>
        </w:tc>
        <w:tc>
          <w:tcPr>
            <w:tcW w:w="2474" w:type="pct"/>
            <w:tcBorders>
              <w:top w:val="single" w:color="auto" w:sz="8" w:space="0"/>
              <w:bottom w:val="single" w:color="auto" w:sz="8" w:space="0"/>
            </w:tcBorders>
            <w:shd w:val="clear" w:color="auto" w:fill="auto"/>
            <w:vAlign w:val="center"/>
          </w:tcPr>
          <w:p w14:paraId="2E8176F2">
            <w:pPr>
              <w:pStyle w:val="178"/>
              <w:rPr>
                <w:highlight w:val="none"/>
              </w:rPr>
            </w:pPr>
            <w:r>
              <w:rPr>
                <w:highlight w:val="none"/>
              </w:rPr>
              <w:t>对患者的影响</w:t>
            </w:r>
          </w:p>
        </w:tc>
      </w:tr>
      <w:tr w14:paraId="0822BF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1269" w:type="pct"/>
            <w:tcBorders>
              <w:top w:val="single" w:color="auto" w:sz="8" w:space="0"/>
            </w:tcBorders>
            <w:shd w:val="clear" w:color="auto" w:fill="auto"/>
            <w:vAlign w:val="center"/>
          </w:tcPr>
          <w:p w14:paraId="00A79DCD">
            <w:pPr>
              <w:pStyle w:val="178"/>
              <w:rPr>
                <w:highlight w:val="none"/>
              </w:rPr>
            </w:pPr>
            <w:r>
              <w:rPr>
                <w:highlight w:val="none"/>
              </w:rPr>
              <w:t>1</w:t>
            </w:r>
          </w:p>
        </w:tc>
        <w:tc>
          <w:tcPr>
            <w:tcW w:w="1256" w:type="pct"/>
            <w:tcBorders>
              <w:top w:val="single" w:color="auto" w:sz="8" w:space="0"/>
            </w:tcBorders>
            <w:shd w:val="clear" w:color="auto" w:fill="auto"/>
            <w:vAlign w:val="center"/>
          </w:tcPr>
          <w:p w14:paraId="2EFBB91B">
            <w:pPr>
              <w:pStyle w:val="178"/>
              <w:rPr>
                <w:highlight w:val="none"/>
              </w:rPr>
            </w:pPr>
            <w:r>
              <w:rPr>
                <w:highlight w:val="none"/>
              </w:rPr>
              <w:t>无</w:t>
            </w:r>
          </w:p>
        </w:tc>
        <w:tc>
          <w:tcPr>
            <w:tcW w:w="2474" w:type="pct"/>
            <w:tcBorders>
              <w:top w:val="single" w:color="auto" w:sz="8" w:space="0"/>
            </w:tcBorders>
            <w:shd w:val="clear" w:color="auto" w:fill="auto"/>
            <w:vAlign w:val="center"/>
          </w:tcPr>
          <w:p w14:paraId="22BE7BF9">
            <w:pPr>
              <w:pStyle w:val="178"/>
              <w:jc w:val="both"/>
              <w:rPr>
                <w:highlight w:val="none"/>
              </w:rPr>
            </w:pPr>
            <w:r>
              <w:rPr>
                <w:highlight w:val="none"/>
              </w:rPr>
              <w:t>对患者基线状态或手术结果无影响。 包括：使用前器械损坏，不使用已损坏的器械；</w:t>
            </w:r>
          </w:p>
          <w:p w14:paraId="105158F0">
            <w:pPr>
              <w:pStyle w:val="178"/>
              <w:jc w:val="both"/>
              <w:rPr>
                <w:highlight w:val="none"/>
              </w:rPr>
            </w:pPr>
            <w:r>
              <w:rPr>
                <w:highlight w:val="none"/>
              </w:rPr>
              <w:t>不影响产品使用的损坏或功能异常</w:t>
            </w:r>
          </w:p>
        </w:tc>
      </w:tr>
      <w:tr w14:paraId="1FC22C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1269" w:type="pct"/>
            <w:shd w:val="clear" w:color="auto" w:fill="auto"/>
            <w:vAlign w:val="center"/>
          </w:tcPr>
          <w:p w14:paraId="146A7CF2">
            <w:pPr>
              <w:pStyle w:val="178"/>
              <w:rPr>
                <w:highlight w:val="none"/>
              </w:rPr>
            </w:pPr>
            <w:r>
              <w:rPr>
                <w:highlight w:val="none"/>
              </w:rPr>
              <w:t>2</w:t>
            </w:r>
          </w:p>
        </w:tc>
        <w:tc>
          <w:tcPr>
            <w:tcW w:w="1256" w:type="pct"/>
            <w:shd w:val="clear" w:color="auto" w:fill="auto"/>
            <w:vAlign w:val="center"/>
          </w:tcPr>
          <w:p w14:paraId="43A11929">
            <w:pPr>
              <w:pStyle w:val="178"/>
              <w:rPr>
                <w:highlight w:val="none"/>
              </w:rPr>
            </w:pPr>
            <w:r>
              <w:rPr>
                <w:highlight w:val="none"/>
              </w:rPr>
              <w:t>很低</w:t>
            </w:r>
          </w:p>
        </w:tc>
        <w:tc>
          <w:tcPr>
            <w:tcW w:w="2474" w:type="pct"/>
            <w:shd w:val="clear" w:color="auto" w:fill="auto"/>
            <w:vAlign w:val="center"/>
          </w:tcPr>
          <w:p w14:paraId="5C99368B">
            <w:pPr>
              <w:pStyle w:val="178"/>
              <w:jc w:val="both"/>
              <w:rPr>
                <w:highlight w:val="none"/>
              </w:rPr>
            </w:pPr>
            <w:r>
              <w:rPr>
                <w:highlight w:val="none"/>
              </w:rPr>
              <w:t>对患者基线状态或手术结果有轻微影响。 包括： 设备功能异常轻微影响手术时间；</w:t>
            </w:r>
          </w:p>
          <w:p w14:paraId="52859009">
            <w:pPr>
              <w:pStyle w:val="178"/>
              <w:jc w:val="both"/>
              <w:rPr>
                <w:highlight w:val="none"/>
              </w:rPr>
            </w:pPr>
            <w:r>
              <w:rPr>
                <w:highlight w:val="none"/>
              </w:rPr>
              <w:t>器械使用不当轻微影响手术时间； 器械损坏，更换器械</w:t>
            </w:r>
          </w:p>
        </w:tc>
      </w:tr>
      <w:tr w14:paraId="724A61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64" w:hRule="atLeast"/>
        </w:trPr>
        <w:tc>
          <w:tcPr>
            <w:tcW w:w="1269" w:type="pct"/>
            <w:shd w:val="clear" w:color="auto" w:fill="auto"/>
            <w:vAlign w:val="center"/>
          </w:tcPr>
          <w:p w14:paraId="71B9F6D1">
            <w:pPr>
              <w:pStyle w:val="178"/>
              <w:rPr>
                <w:highlight w:val="none"/>
              </w:rPr>
            </w:pPr>
            <w:r>
              <w:rPr>
                <w:highlight w:val="none"/>
              </w:rPr>
              <w:t>3</w:t>
            </w:r>
          </w:p>
        </w:tc>
        <w:tc>
          <w:tcPr>
            <w:tcW w:w="1256" w:type="pct"/>
            <w:shd w:val="clear" w:color="auto" w:fill="auto"/>
            <w:vAlign w:val="center"/>
          </w:tcPr>
          <w:p w14:paraId="1ED091D0">
            <w:pPr>
              <w:pStyle w:val="178"/>
              <w:rPr>
                <w:highlight w:val="none"/>
              </w:rPr>
            </w:pPr>
            <w:r>
              <w:rPr>
                <w:highlight w:val="none"/>
              </w:rPr>
              <w:t>低</w:t>
            </w:r>
          </w:p>
        </w:tc>
        <w:tc>
          <w:tcPr>
            <w:tcW w:w="2474" w:type="pct"/>
            <w:shd w:val="clear" w:color="auto" w:fill="auto"/>
            <w:vAlign w:val="center"/>
          </w:tcPr>
          <w:p w14:paraId="6914DD86">
            <w:pPr>
              <w:pStyle w:val="178"/>
              <w:jc w:val="both"/>
              <w:rPr>
                <w:highlight w:val="none"/>
              </w:rPr>
            </w:pPr>
            <w:r>
              <w:rPr>
                <w:highlight w:val="none"/>
              </w:rPr>
              <w:t>对患者基线状态有显著影响。包括： 显著延长手术时间；</w:t>
            </w:r>
          </w:p>
          <w:p w14:paraId="07B0372F">
            <w:pPr>
              <w:pStyle w:val="178"/>
              <w:jc w:val="both"/>
              <w:rPr>
                <w:highlight w:val="none"/>
              </w:rPr>
            </w:pPr>
            <w:r>
              <w:rPr>
                <w:highlight w:val="none"/>
              </w:rPr>
              <w:t>组织损伤；</w:t>
            </w:r>
          </w:p>
          <w:p w14:paraId="5E30541E">
            <w:pPr>
              <w:pStyle w:val="178"/>
              <w:jc w:val="both"/>
              <w:rPr>
                <w:highlight w:val="none"/>
              </w:rPr>
            </w:pPr>
            <w:r>
              <w:rPr>
                <w:highlight w:val="none"/>
              </w:rPr>
              <w:t>血管出血；</w:t>
            </w:r>
          </w:p>
          <w:p w14:paraId="7A121A3C">
            <w:pPr>
              <w:pStyle w:val="178"/>
              <w:jc w:val="both"/>
              <w:rPr>
                <w:highlight w:val="none"/>
              </w:rPr>
            </w:pPr>
            <w:r>
              <w:rPr>
                <w:highlight w:val="none"/>
              </w:rPr>
              <w:t>局部感染；</w:t>
            </w:r>
          </w:p>
          <w:p w14:paraId="199ED99D">
            <w:pPr>
              <w:pStyle w:val="178"/>
              <w:jc w:val="both"/>
              <w:rPr>
                <w:highlight w:val="none"/>
              </w:rPr>
            </w:pPr>
            <w:r>
              <w:rPr>
                <w:highlight w:val="none"/>
              </w:rPr>
              <w:t>局部毒性反应</w:t>
            </w:r>
          </w:p>
        </w:tc>
      </w:tr>
      <w:tr w14:paraId="033E2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7" w:hRule="atLeast"/>
        </w:trPr>
        <w:tc>
          <w:tcPr>
            <w:tcW w:w="1269" w:type="pct"/>
            <w:shd w:val="clear" w:color="auto" w:fill="auto"/>
            <w:vAlign w:val="center"/>
          </w:tcPr>
          <w:p w14:paraId="0AC4BE77">
            <w:pPr>
              <w:pStyle w:val="178"/>
              <w:rPr>
                <w:highlight w:val="none"/>
              </w:rPr>
            </w:pPr>
            <w:r>
              <w:rPr>
                <w:rFonts w:hint="eastAsia"/>
                <w:highlight w:val="none"/>
              </w:rPr>
              <w:t>4</w:t>
            </w:r>
          </w:p>
        </w:tc>
        <w:tc>
          <w:tcPr>
            <w:tcW w:w="1256" w:type="pct"/>
            <w:shd w:val="clear" w:color="auto" w:fill="auto"/>
            <w:vAlign w:val="center"/>
          </w:tcPr>
          <w:p w14:paraId="0E540C13">
            <w:pPr>
              <w:pStyle w:val="178"/>
              <w:rPr>
                <w:highlight w:val="none"/>
              </w:rPr>
            </w:pPr>
            <w:r>
              <w:rPr>
                <w:rFonts w:hint="eastAsia"/>
                <w:highlight w:val="none"/>
              </w:rPr>
              <w:t>中等</w:t>
            </w:r>
          </w:p>
        </w:tc>
        <w:tc>
          <w:tcPr>
            <w:tcW w:w="2474" w:type="pct"/>
            <w:shd w:val="clear" w:color="auto" w:fill="auto"/>
            <w:vAlign w:val="center"/>
          </w:tcPr>
          <w:p w14:paraId="1C02612A">
            <w:pPr>
              <w:pStyle w:val="178"/>
              <w:jc w:val="both"/>
              <w:rPr>
                <w:highlight w:val="none"/>
              </w:rPr>
            </w:pPr>
            <w:r>
              <w:rPr>
                <w:rFonts w:hint="eastAsia"/>
                <w:highlight w:val="none"/>
              </w:rPr>
              <w:t>对患者基线状态有严重影响。 包括： 过敏反应；</w:t>
            </w:r>
          </w:p>
          <w:p w14:paraId="256B022A">
            <w:pPr>
              <w:pStyle w:val="178"/>
              <w:jc w:val="both"/>
              <w:rPr>
                <w:highlight w:val="none"/>
              </w:rPr>
            </w:pPr>
            <w:r>
              <w:rPr>
                <w:rFonts w:hint="eastAsia"/>
                <w:highlight w:val="none"/>
              </w:rPr>
              <w:t>全身感染；</w:t>
            </w:r>
          </w:p>
          <w:p w14:paraId="1DFDB521">
            <w:pPr>
              <w:pStyle w:val="178"/>
              <w:jc w:val="both"/>
              <w:rPr>
                <w:highlight w:val="none"/>
              </w:rPr>
            </w:pPr>
            <w:r>
              <w:rPr>
                <w:rFonts w:hint="eastAsia"/>
                <w:highlight w:val="none"/>
              </w:rPr>
              <w:t>全身毒性反应；</w:t>
            </w:r>
          </w:p>
          <w:p w14:paraId="20CD4552">
            <w:pPr>
              <w:pStyle w:val="178"/>
              <w:jc w:val="both"/>
              <w:rPr>
                <w:highlight w:val="none"/>
              </w:rPr>
            </w:pPr>
            <w:r>
              <w:rPr>
                <w:rFonts w:hint="eastAsia"/>
                <w:highlight w:val="none"/>
              </w:rPr>
              <w:t>从微创伤手术改为传统开腔手术</w:t>
            </w:r>
          </w:p>
        </w:tc>
      </w:tr>
      <w:tr w14:paraId="2F3BE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3" w:hRule="atLeast"/>
        </w:trPr>
        <w:tc>
          <w:tcPr>
            <w:tcW w:w="1269" w:type="pct"/>
            <w:shd w:val="clear" w:color="auto" w:fill="auto"/>
            <w:vAlign w:val="center"/>
          </w:tcPr>
          <w:p w14:paraId="468730DD">
            <w:pPr>
              <w:pStyle w:val="178"/>
              <w:rPr>
                <w:highlight w:val="none"/>
              </w:rPr>
            </w:pPr>
            <w:r>
              <w:rPr>
                <w:rFonts w:hint="eastAsia"/>
                <w:highlight w:val="none"/>
              </w:rPr>
              <w:t>5</w:t>
            </w:r>
          </w:p>
        </w:tc>
        <w:tc>
          <w:tcPr>
            <w:tcW w:w="1256" w:type="pct"/>
            <w:shd w:val="clear" w:color="auto" w:fill="auto"/>
            <w:vAlign w:val="center"/>
          </w:tcPr>
          <w:p w14:paraId="14A5A764">
            <w:pPr>
              <w:pStyle w:val="178"/>
              <w:rPr>
                <w:highlight w:val="none"/>
              </w:rPr>
            </w:pPr>
            <w:r>
              <w:rPr>
                <w:rFonts w:hint="eastAsia"/>
                <w:highlight w:val="none"/>
              </w:rPr>
              <w:t>高</w:t>
            </w:r>
          </w:p>
        </w:tc>
        <w:tc>
          <w:tcPr>
            <w:tcW w:w="2474" w:type="pct"/>
            <w:shd w:val="clear" w:color="auto" w:fill="auto"/>
            <w:vAlign w:val="center"/>
          </w:tcPr>
          <w:p w14:paraId="5227E037">
            <w:pPr>
              <w:pStyle w:val="178"/>
              <w:jc w:val="both"/>
              <w:rPr>
                <w:highlight w:val="none"/>
              </w:rPr>
            </w:pPr>
            <w:r>
              <w:rPr>
                <w:rFonts w:hint="eastAsia"/>
                <w:highlight w:val="none"/>
              </w:rPr>
              <w:t>对患者基线状态有重大改变。 包括： 紧急抢救；</w:t>
            </w:r>
          </w:p>
          <w:p w14:paraId="2A257297">
            <w:pPr>
              <w:pStyle w:val="178"/>
              <w:jc w:val="both"/>
              <w:rPr>
                <w:highlight w:val="none"/>
              </w:rPr>
            </w:pPr>
            <w:r>
              <w:rPr>
                <w:rFonts w:hint="eastAsia"/>
                <w:highlight w:val="none"/>
              </w:rPr>
              <w:t>不可恢复的伤害。 例如，器官摘除、截肢等</w:t>
            </w:r>
          </w:p>
        </w:tc>
      </w:tr>
      <w:tr w14:paraId="460E36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8" w:hRule="atLeast"/>
        </w:trPr>
        <w:tc>
          <w:tcPr>
            <w:tcW w:w="1269" w:type="pct"/>
            <w:shd w:val="clear" w:color="auto" w:fill="auto"/>
            <w:vAlign w:val="center"/>
          </w:tcPr>
          <w:p w14:paraId="273C0432">
            <w:pPr>
              <w:pStyle w:val="178"/>
              <w:rPr>
                <w:highlight w:val="none"/>
              </w:rPr>
            </w:pPr>
            <w:r>
              <w:rPr>
                <w:rFonts w:hint="eastAsia"/>
                <w:highlight w:val="none"/>
              </w:rPr>
              <w:t>6</w:t>
            </w:r>
          </w:p>
        </w:tc>
        <w:tc>
          <w:tcPr>
            <w:tcW w:w="1256" w:type="pct"/>
            <w:shd w:val="clear" w:color="auto" w:fill="auto"/>
            <w:vAlign w:val="center"/>
          </w:tcPr>
          <w:p w14:paraId="445E93D7">
            <w:pPr>
              <w:pStyle w:val="178"/>
              <w:rPr>
                <w:highlight w:val="none"/>
              </w:rPr>
            </w:pPr>
            <w:r>
              <w:rPr>
                <w:rFonts w:hint="eastAsia"/>
                <w:highlight w:val="none"/>
              </w:rPr>
              <w:t>很高</w:t>
            </w:r>
          </w:p>
        </w:tc>
        <w:tc>
          <w:tcPr>
            <w:tcW w:w="2474" w:type="pct"/>
            <w:shd w:val="clear" w:color="auto" w:fill="auto"/>
            <w:vAlign w:val="center"/>
          </w:tcPr>
          <w:p w14:paraId="136902B8">
            <w:pPr>
              <w:pStyle w:val="178"/>
              <w:jc w:val="both"/>
              <w:rPr>
                <w:highlight w:val="none"/>
              </w:rPr>
            </w:pPr>
            <w:r>
              <w:rPr>
                <w:rFonts w:hint="eastAsia"/>
                <w:highlight w:val="none"/>
              </w:rPr>
              <w:t>器械相关的死亡</w:t>
            </w:r>
          </w:p>
        </w:tc>
      </w:tr>
      <w:tr w14:paraId="41DE3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5000" w:type="pct"/>
            <w:gridSpan w:val="3"/>
            <w:shd w:val="clear" w:color="auto" w:fill="auto"/>
            <w:vAlign w:val="center"/>
          </w:tcPr>
          <w:p w14:paraId="7AE69CFE">
            <w:pPr>
              <w:pStyle w:val="178"/>
              <w:jc w:val="both"/>
              <w:rPr>
                <w:rFonts w:hint="eastAsia"/>
                <w:highlight w:val="yellow"/>
              </w:rPr>
            </w:pPr>
            <w:r>
              <w:rPr>
                <w:rFonts w:hint="eastAsia" w:ascii="宋体" w:hAnsi="Times New Roman" w:eastAsia="宋体" w:cs="Times New Roman"/>
                <w:kern w:val="0"/>
                <w:sz w:val="18"/>
                <w:highlight w:val="none"/>
              </w:rPr>
              <w:t>注：企业根据自身情况可进行等级分值的调整，比如调整为1~10分。</w:t>
            </w:r>
          </w:p>
        </w:tc>
      </w:tr>
    </w:tbl>
    <w:p w14:paraId="49134410">
      <w:pPr>
        <w:pStyle w:val="77"/>
        <w:spacing w:before="120" w:after="120"/>
      </w:pPr>
      <w:r>
        <w:rPr>
          <w:rFonts w:hint="eastAsia"/>
        </w:rPr>
        <w:t>医疗机器人发生概率等级</w:t>
      </w:r>
    </w:p>
    <w:tbl>
      <w:tblPr>
        <w:tblStyle w:val="27"/>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71"/>
        <w:gridCol w:w="2483"/>
        <w:gridCol w:w="4418"/>
      </w:tblGrid>
      <w:tr w14:paraId="38738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5" w:hRule="atLeast"/>
          <w:tblHeader/>
          <w:jc w:val="center"/>
        </w:trPr>
        <w:tc>
          <w:tcPr>
            <w:tcW w:w="1318" w:type="pct"/>
            <w:tcBorders>
              <w:top w:val="single" w:color="auto" w:sz="8" w:space="0"/>
              <w:bottom w:val="single" w:color="auto" w:sz="8" w:space="0"/>
            </w:tcBorders>
            <w:shd w:val="clear" w:color="auto" w:fill="auto"/>
            <w:vAlign w:val="center"/>
          </w:tcPr>
          <w:p w14:paraId="69D8960F">
            <w:pPr>
              <w:pStyle w:val="178"/>
            </w:pPr>
            <w:r>
              <w:rPr>
                <w:rFonts w:hint="eastAsia"/>
              </w:rPr>
              <w:t>等级</w:t>
            </w:r>
          </w:p>
        </w:tc>
        <w:tc>
          <w:tcPr>
            <w:tcW w:w="1324" w:type="pct"/>
            <w:tcBorders>
              <w:top w:val="single" w:color="auto" w:sz="8" w:space="0"/>
              <w:bottom w:val="single" w:color="auto" w:sz="8" w:space="0"/>
            </w:tcBorders>
            <w:shd w:val="clear" w:color="auto" w:fill="auto"/>
            <w:vAlign w:val="center"/>
          </w:tcPr>
          <w:p w14:paraId="25F203B1">
            <w:pPr>
              <w:pStyle w:val="178"/>
            </w:pPr>
            <w:r>
              <w:rPr>
                <w:rFonts w:hint="eastAsia"/>
              </w:rPr>
              <w:t>定性描述</w:t>
            </w:r>
          </w:p>
        </w:tc>
        <w:tc>
          <w:tcPr>
            <w:tcW w:w="2356" w:type="pct"/>
            <w:tcBorders>
              <w:top w:val="single" w:color="auto" w:sz="8" w:space="0"/>
              <w:bottom w:val="single" w:color="auto" w:sz="8" w:space="0"/>
            </w:tcBorders>
            <w:shd w:val="clear" w:color="auto" w:fill="auto"/>
            <w:vAlign w:val="center"/>
          </w:tcPr>
          <w:p w14:paraId="2F547AE6">
            <w:pPr>
              <w:pStyle w:val="178"/>
            </w:pPr>
            <w:r>
              <w:rPr>
                <w:rFonts w:hint="eastAsia"/>
              </w:rPr>
              <w:t>概率（该失效模式在产品寿命周期内发生的概率）</w:t>
            </w:r>
          </w:p>
        </w:tc>
      </w:tr>
      <w:tr w14:paraId="21EAC4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318" w:type="pct"/>
            <w:tcBorders>
              <w:top w:val="single" w:color="auto" w:sz="8" w:space="0"/>
            </w:tcBorders>
            <w:shd w:val="clear" w:color="auto" w:fill="auto"/>
            <w:vAlign w:val="center"/>
          </w:tcPr>
          <w:p w14:paraId="32EFD2C7">
            <w:pPr>
              <w:pStyle w:val="178"/>
            </w:pPr>
            <w:r>
              <w:rPr>
                <w:rFonts w:hint="eastAsia"/>
              </w:rPr>
              <w:t>1</w:t>
            </w:r>
          </w:p>
        </w:tc>
        <w:tc>
          <w:tcPr>
            <w:tcW w:w="1324" w:type="pct"/>
            <w:tcBorders>
              <w:top w:val="single" w:color="auto" w:sz="8" w:space="0"/>
            </w:tcBorders>
            <w:shd w:val="clear" w:color="auto" w:fill="auto"/>
            <w:vAlign w:val="center"/>
          </w:tcPr>
          <w:p w14:paraId="68277892">
            <w:pPr>
              <w:pStyle w:val="178"/>
            </w:pPr>
            <w:r>
              <w:rPr>
                <w:rFonts w:hint="eastAsia"/>
              </w:rPr>
              <w:t>几乎不可能</w:t>
            </w:r>
          </w:p>
        </w:tc>
        <w:tc>
          <w:tcPr>
            <w:tcW w:w="2356" w:type="pct"/>
            <w:tcBorders>
              <w:top w:val="single" w:color="auto" w:sz="8" w:space="0"/>
            </w:tcBorders>
            <w:shd w:val="clear" w:color="auto" w:fill="auto"/>
            <w:vAlign w:val="center"/>
          </w:tcPr>
          <w:p w14:paraId="0C2F1B93">
            <w:pPr>
              <w:pStyle w:val="178"/>
            </w:pPr>
            <w:r>
              <w:rPr>
                <w:rFonts w:hint="eastAsia"/>
              </w:rPr>
              <w:t>≤0.001%</w:t>
            </w:r>
          </w:p>
        </w:tc>
      </w:tr>
      <w:tr w14:paraId="0581B5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318" w:type="pct"/>
            <w:shd w:val="clear" w:color="auto" w:fill="auto"/>
            <w:vAlign w:val="center"/>
          </w:tcPr>
          <w:p w14:paraId="073973FD">
            <w:pPr>
              <w:pStyle w:val="178"/>
            </w:pPr>
            <w:r>
              <w:rPr>
                <w:rFonts w:hint="eastAsia"/>
              </w:rPr>
              <w:t>2</w:t>
            </w:r>
          </w:p>
        </w:tc>
        <w:tc>
          <w:tcPr>
            <w:tcW w:w="1324" w:type="pct"/>
            <w:shd w:val="clear" w:color="auto" w:fill="auto"/>
            <w:vAlign w:val="center"/>
          </w:tcPr>
          <w:p w14:paraId="1B0191E1">
            <w:pPr>
              <w:pStyle w:val="178"/>
            </w:pPr>
            <w:r>
              <w:rPr>
                <w:rFonts w:hint="eastAsia"/>
              </w:rPr>
              <w:t>极少</w:t>
            </w:r>
          </w:p>
        </w:tc>
        <w:tc>
          <w:tcPr>
            <w:tcW w:w="2356" w:type="pct"/>
            <w:shd w:val="clear" w:color="auto" w:fill="auto"/>
            <w:vAlign w:val="center"/>
          </w:tcPr>
          <w:p w14:paraId="49C269E2">
            <w:pPr>
              <w:pStyle w:val="178"/>
            </w:pPr>
            <w:r>
              <w:rPr>
                <w:rFonts w:hint="eastAsia"/>
              </w:rPr>
              <w:t>≤0.005%</w:t>
            </w:r>
          </w:p>
        </w:tc>
      </w:tr>
      <w:tr w14:paraId="2BF4E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318" w:type="pct"/>
            <w:shd w:val="clear" w:color="auto" w:fill="auto"/>
            <w:vAlign w:val="center"/>
          </w:tcPr>
          <w:p w14:paraId="718EFAE1">
            <w:pPr>
              <w:pStyle w:val="178"/>
            </w:pPr>
            <w:r>
              <w:rPr>
                <w:rFonts w:hint="eastAsia"/>
              </w:rPr>
              <w:t>3</w:t>
            </w:r>
          </w:p>
        </w:tc>
        <w:tc>
          <w:tcPr>
            <w:tcW w:w="1324" w:type="pct"/>
            <w:shd w:val="clear" w:color="auto" w:fill="auto"/>
            <w:vAlign w:val="center"/>
          </w:tcPr>
          <w:p w14:paraId="2F35C3C1">
            <w:pPr>
              <w:pStyle w:val="178"/>
            </w:pPr>
            <w:r>
              <w:rPr>
                <w:rFonts w:hint="eastAsia"/>
              </w:rPr>
              <w:t>很少</w:t>
            </w:r>
          </w:p>
        </w:tc>
        <w:tc>
          <w:tcPr>
            <w:tcW w:w="2356" w:type="pct"/>
            <w:shd w:val="clear" w:color="auto" w:fill="auto"/>
            <w:vAlign w:val="center"/>
          </w:tcPr>
          <w:p w14:paraId="1EF4C417">
            <w:pPr>
              <w:pStyle w:val="178"/>
            </w:pPr>
            <w:r>
              <w:rPr>
                <w:rFonts w:hint="eastAsia"/>
              </w:rPr>
              <w:t>≤0.01%</w:t>
            </w:r>
          </w:p>
        </w:tc>
      </w:tr>
      <w:tr w14:paraId="40F3E4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318" w:type="pct"/>
            <w:shd w:val="clear" w:color="auto" w:fill="auto"/>
            <w:vAlign w:val="center"/>
          </w:tcPr>
          <w:p w14:paraId="6B3817E5">
            <w:pPr>
              <w:pStyle w:val="178"/>
            </w:pPr>
            <w:r>
              <w:rPr>
                <w:rFonts w:hint="eastAsia"/>
              </w:rPr>
              <w:t>4</w:t>
            </w:r>
          </w:p>
        </w:tc>
        <w:tc>
          <w:tcPr>
            <w:tcW w:w="1324" w:type="pct"/>
            <w:shd w:val="clear" w:color="auto" w:fill="auto"/>
            <w:vAlign w:val="center"/>
          </w:tcPr>
          <w:p w14:paraId="1BBCEB02">
            <w:pPr>
              <w:pStyle w:val="178"/>
            </w:pPr>
            <w:r>
              <w:rPr>
                <w:rFonts w:hint="eastAsia"/>
              </w:rPr>
              <w:t>较少</w:t>
            </w:r>
          </w:p>
        </w:tc>
        <w:tc>
          <w:tcPr>
            <w:tcW w:w="2356" w:type="pct"/>
            <w:shd w:val="clear" w:color="auto" w:fill="auto"/>
            <w:vAlign w:val="center"/>
          </w:tcPr>
          <w:p w14:paraId="2E95A42B">
            <w:pPr>
              <w:pStyle w:val="178"/>
            </w:pPr>
            <w:r>
              <w:rPr>
                <w:rFonts w:hint="eastAsia"/>
              </w:rPr>
              <w:t>≤0.05%</w:t>
            </w:r>
          </w:p>
        </w:tc>
      </w:tr>
      <w:tr w14:paraId="2F10C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318" w:type="pct"/>
            <w:shd w:val="clear" w:color="auto" w:fill="auto"/>
            <w:vAlign w:val="center"/>
          </w:tcPr>
          <w:p w14:paraId="7EBEB098">
            <w:pPr>
              <w:pStyle w:val="178"/>
            </w:pPr>
            <w:r>
              <w:rPr>
                <w:rFonts w:hint="eastAsia"/>
              </w:rPr>
              <w:t>5</w:t>
            </w:r>
          </w:p>
        </w:tc>
        <w:tc>
          <w:tcPr>
            <w:tcW w:w="1324" w:type="pct"/>
            <w:shd w:val="clear" w:color="auto" w:fill="auto"/>
            <w:vAlign w:val="center"/>
          </w:tcPr>
          <w:p w14:paraId="4D657F09">
            <w:pPr>
              <w:pStyle w:val="178"/>
            </w:pPr>
            <w:r>
              <w:rPr>
                <w:rFonts w:hint="eastAsia"/>
              </w:rPr>
              <w:t>一般</w:t>
            </w:r>
          </w:p>
        </w:tc>
        <w:tc>
          <w:tcPr>
            <w:tcW w:w="2356" w:type="pct"/>
            <w:shd w:val="clear" w:color="auto" w:fill="auto"/>
            <w:vAlign w:val="center"/>
          </w:tcPr>
          <w:p w14:paraId="5A24A5D5">
            <w:pPr>
              <w:pStyle w:val="178"/>
            </w:pPr>
            <w:r>
              <w:rPr>
                <w:rFonts w:hint="eastAsia"/>
              </w:rPr>
              <w:t>≤0.1%</w:t>
            </w:r>
          </w:p>
        </w:tc>
      </w:tr>
      <w:tr w14:paraId="4563CD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318" w:type="pct"/>
            <w:shd w:val="clear" w:color="auto" w:fill="auto"/>
            <w:vAlign w:val="center"/>
          </w:tcPr>
          <w:p w14:paraId="1E0F87CF">
            <w:pPr>
              <w:pStyle w:val="178"/>
            </w:pPr>
            <w:r>
              <w:rPr>
                <w:rFonts w:hint="eastAsia"/>
              </w:rPr>
              <w:t>6</w:t>
            </w:r>
          </w:p>
        </w:tc>
        <w:tc>
          <w:tcPr>
            <w:tcW w:w="1324" w:type="pct"/>
            <w:shd w:val="clear" w:color="auto" w:fill="auto"/>
            <w:vAlign w:val="center"/>
          </w:tcPr>
          <w:p w14:paraId="4F0ECEB8">
            <w:pPr>
              <w:pStyle w:val="178"/>
            </w:pPr>
            <w:r>
              <w:rPr>
                <w:rFonts w:hint="eastAsia"/>
              </w:rPr>
              <w:t>中高</w:t>
            </w:r>
          </w:p>
        </w:tc>
        <w:tc>
          <w:tcPr>
            <w:tcW w:w="2356" w:type="pct"/>
            <w:shd w:val="clear" w:color="auto" w:fill="auto"/>
            <w:vAlign w:val="center"/>
          </w:tcPr>
          <w:p w14:paraId="6CA86057">
            <w:pPr>
              <w:pStyle w:val="178"/>
            </w:pPr>
            <w:r>
              <w:rPr>
                <w:rFonts w:hint="eastAsia"/>
              </w:rPr>
              <w:t>≤0.5%</w:t>
            </w:r>
          </w:p>
        </w:tc>
      </w:tr>
      <w:tr w14:paraId="3C5F2D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318" w:type="pct"/>
            <w:shd w:val="clear" w:color="auto" w:fill="auto"/>
            <w:vAlign w:val="center"/>
          </w:tcPr>
          <w:p w14:paraId="722E1EF9">
            <w:pPr>
              <w:pStyle w:val="178"/>
            </w:pPr>
            <w:r>
              <w:rPr>
                <w:rFonts w:hint="eastAsia"/>
              </w:rPr>
              <w:t>7</w:t>
            </w:r>
          </w:p>
        </w:tc>
        <w:tc>
          <w:tcPr>
            <w:tcW w:w="1324" w:type="pct"/>
            <w:shd w:val="clear" w:color="auto" w:fill="auto"/>
            <w:vAlign w:val="center"/>
          </w:tcPr>
          <w:p w14:paraId="01F3FB04">
            <w:pPr>
              <w:pStyle w:val="178"/>
            </w:pPr>
            <w:r>
              <w:rPr>
                <w:rFonts w:hint="eastAsia"/>
              </w:rPr>
              <w:t>较高</w:t>
            </w:r>
          </w:p>
        </w:tc>
        <w:tc>
          <w:tcPr>
            <w:tcW w:w="2356" w:type="pct"/>
            <w:shd w:val="clear" w:color="auto" w:fill="auto"/>
            <w:vAlign w:val="center"/>
          </w:tcPr>
          <w:p w14:paraId="17521449">
            <w:pPr>
              <w:pStyle w:val="178"/>
            </w:pPr>
            <w:r>
              <w:rPr>
                <w:rFonts w:hint="eastAsia"/>
              </w:rPr>
              <w:t>≤1%</w:t>
            </w:r>
          </w:p>
        </w:tc>
      </w:tr>
      <w:tr w14:paraId="3D7C6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318" w:type="pct"/>
            <w:shd w:val="clear" w:color="auto" w:fill="auto"/>
            <w:vAlign w:val="center"/>
          </w:tcPr>
          <w:p w14:paraId="72A32C9A">
            <w:pPr>
              <w:pStyle w:val="178"/>
            </w:pPr>
            <w:r>
              <w:rPr>
                <w:rFonts w:hint="eastAsia"/>
              </w:rPr>
              <w:t>8</w:t>
            </w:r>
          </w:p>
        </w:tc>
        <w:tc>
          <w:tcPr>
            <w:tcW w:w="1324" w:type="pct"/>
            <w:shd w:val="clear" w:color="auto" w:fill="auto"/>
            <w:vAlign w:val="center"/>
          </w:tcPr>
          <w:p w14:paraId="3D0F4C75">
            <w:pPr>
              <w:pStyle w:val="178"/>
            </w:pPr>
            <w:r>
              <w:rPr>
                <w:rFonts w:hint="eastAsia"/>
              </w:rPr>
              <w:t>很高</w:t>
            </w:r>
          </w:p>
        </w:tc>
        <w:tc>
          <w:tcPr>
            <w:tcW w:w="2356" w:type="pct"/>
            <w:shd w:val="clear" w:color="auto" w:fill="auto"/>
            <w:vAlign w:val="center"/>
          </w:tcPr>
          <w:p w14:paraId="19C3C1F3">
            <w:pPr>
              <w:pStyle w:val="178"/>
            </w:pPr>
            <w:r>
              <w:rPr>
                <w:rFonts w:hint="eastAsia"/>
              </w:rPr>
              <w:t>≤5%</w:t>
            </w:r>
          </w:p>
        </w:tc>
      </w:tr>
      <w:tr w14:paraId="7EB75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318" w:type="pct"/>
            <w:shd w:val="clear" w:color="auto" w:fill="auto"/>
            <w:vAlign w:val="center"/>
          </w:tcPr>
          <w:p w14:paraId="2A64DCB3">
            <w:pPr>
              <w:pStyle w:val="178"/>
            </w:pPr>
            <w:r>
              <w:rPr>
                <w:rFonts w:hint="eastAsia"/>
              </w:rPr>
              <w:t>9</w:t>
            </w:r>
          </w:p>
        </w:tc>
        <w:tc>
          <w:tcPr>
            <w:tcW w:w="1324" w:type="pct"/>
            <w:shd w:val="clear" w:color="auto" w:fill="auto"/>
            <w:vAlign w:val="center"/>
          </w:tcPr>
          <w:p w14:paraId="34CC1E7E">
            <w:pPr>
              <w:pStyle w:val="178"/>
            </w:pPr>
            <w:r>
              <w:rPr>
                <w:rFonts w:hint="eastAsia"/>
              </w:rPr>
              <w:t>极高</w:t>
            </w:r>
          </w:p>
        </w:tc>
        <w:tc>
          <w:tcPr>
            <w:tcW w:w="2356" w:type="pct"/>
            <w:shd w:val="clear" w:color="auto" w:fill="auto"/>
            <w:vAlign w:val="center"/>
          </w:tcPr>
          <w:p w14:paraId="630BF9CD">
            <w:pPr>
              <w:pStyle w:val="178"/>
            </w:pPr>
            <w:r>
              <w:rPr>
                <w:rFonts w:hint="eastAsia"/>
              </w:rPr>
              <w:t>≤10%</w:t>
            </w:r>
          </w:p>
        </w:tc>
      </w:tr>
      <w:tr w14:paraId="59FA81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318" w:type="pct"/>
            <w:shd w:val="clear" w:color="auto" w:fill="auto"/>
            <w:vAlign w:val="center"/>
          </w:tcPr>
          <w:p w14:paraId="035D755D">
            <w:pPr>
              <w:pStyle w:val="178"/>
            </w:pPr>
            <w:r>
              <w:rPr>
                <w:rFonts w:hint="eastAsia"/>
              </w:rPr>
              <w:t>10</w:t>
            </w:r>
          </w:p>
        </w:tc>
        <w:tc>
          <w:tcPr>
            <w:tcW w:w="1324" w:type="pct"/>
            <w:shd w:val="clear" w:color="auto" w:fill="auto"/>
            <w:vAlign w:val="center"/>
          </w:tcPr>
          <w:p w14:paraId="5BAA9B76">
            <w:pPr>
              <w:pStyle w:val="178"/>
            </w:pPr>
            <w:r>
              <w:rPr>
                <w:rFonts w:hint="eastAsia"/>
              </w:rPr>
              <w:t>几乎一定</w:t>
            </w:r>
          </w:p>
        </w:tc>
        <w:tc>
          <w:tcPr>
            <w:tcW w:w="2356" w:type="pct"/>
            <w:shd w:val="clear" w:color="auto" w:fill="auto"/>
            <w:vAlign w:val="center"/>
          </w:tcPr>
          <w:p w14:paraId="5EC8DBDA">
            <w:pPr>
              <w:pStyle w:val="178"/>
            </w:pPr>
            <w:r>
              <w:rPr>
                <w:rFonts w:hint="eastAsia"/>
              </w:rPr>
              <w:t>&gt;10%</w:t>
            </w:r>
          </w:p>
        </w:tc>
      </w:tr>
    </w:tbl>
    <w:p w14:paraId="783E4450">
      <w:pPr>
        <w:pStyle w:val="77"/>
        <w:spacing w:before="120" w:after="120"/>
        <w:rPr>
          <w:highlight w:val="none"/>
        </w:rPr>
      </w:pPr>
      <w:r>
        <w:rPr>
          <w:rFonts w:hint="eastAsia"/>
          <w:highlight w:val="none"/>
        </w:rPr>
        <w:t>医疗机器人可探测度等级</w:t>
      </w:r>
    </w:p>
    <w:tbl>
      <w:tblPr>
        <w:tblStyle w:val="27"/>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71"/>
        <w:gridCol w:w="2482"/>
        <w:gridCol w:w="4419"/>
      </w:tblGrid>
      <w:tr w14:paraId="20C63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tblHeader/>
          <w:jc w:val="center"/>
        </w:trPr>
        <w:tc>
          <w:tcPr>
            <w:tcW w:w="1318" w:type="pct"/>
            <w:tcBorders>
              <w:top w:val="single" w:color="auto" w:sz="8" w:space="0"/>
              <w:bottom w:val="single" w:color="auto" w:sz="8" w:space="0"/>
            </w:tcBorders>
            <w:shd w:val="clear" w:color="auto" w:fill="auto"/>
            <w:vAlign w:val="center"/>
          </w:tcPr>
          <w:p w14:paraId="06CCB1BF">
            <w:pPr>
              <w:pStyle w:val="178"/>
              <w:rPr>
                <w:highlight w:val="none"/>
              </w:rPr>
            </w:pPr>
            <w:r>
              <w:rPr>
                <w:rFonts w:hint="eastAsia"/>
                <w:highlight w:val="none"/>
              </w:rPr>
              <w:t>等级</w:t>
            </w:r>
          </w:p>
        </w:tc>
        <w:tc>
          <w:tcPr>
            <w:tcW w:w="3681" w:type="pct"/>
            <w:gridSpan w:val="2"/>
            <w:tcBorders>
              <w:top w:val="single" w:color="auto" w:sz="8" w:space="0"/>
              <w:bottom w:val="single" w:color="auto" w:sz="8" w:space="0"/>
            </w:tcBorders>
            <w:shd w:val="clear" w:color="auto" w:fill="auto"/>
            <w:vAlign w:val="center"/>
          </w:tcPr>
          <w:p w14:paraId="365EBAA8">
            <w:pPr>
              <w:pStyle w:val="178"/>
              <w:rPr>
                <w:highlight w:val="none"/>
              </w:rPr>
            </w:pPr>
            <w:r>
              <w:rPr>
                <w:rFonts w:hint="eastAsia"/>
                <w:highlight w:val="none"/>
              </w:rPr>
              <w:t>定性描述</w:t>
            </w:r>
          </w:p>
        </w:tc>
      </w:tr>
      <w:tr w14:paraId="246984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1318" w:type="pct"/>
            <w:tcBorders>
              <w:top w:val="single" w:color="auto" w:sz="8" w:space="0"/>
            </w:tcBorders>
            <w:shd w:val="clear" w:color="auto" w:fill="auto"/>
            <w:vAlign w:val="center"/>
          </w:tcPr>
          <w:p w14:paraId="5C1EAC19">
            <w:pPr>
              <w:pStyle w:val="178"/>
              <w:rPr>
                <w:highlight w:val="none"/>
              </w:rPr>
            </w:pPr>
            <w:r>
              <w:rPr>
                <w:rFonts w:hint="eastAsia"/>
                <w:highlight w:val="none"/>
              </w:rPr>
              <w:t>1</w:t>
            </w:r>
          </w:p>
        </w:tc>
        <w:tc>
          <w:tcPr>
            <w:tcW w:w="1324" w:type="pct"/>
            <w:tcBorders>
              <w:top w:val="single" w:color="auto" w:sz="8" w:space="0"/>
            </w:tcBorders>
            <w:shd w:val="clear" w:color="auto" w:fill="auto"/>
            <w:vAlign w:val="center"/>
          </w:tcPr>
          <w:p w14:paraId="1034E421">
            <w:pPr>
              <w:pStyle w:val="178"/>
              <w:rPr>
                <w:highlight w:val="none"/>
              </w:rPr>
            </w:pPr>
            <w:r>
              <w:rPr>
                <w:rFonts w:ascii="Times New Roman"/>
                <w:spacing w:val="15"/>
                <w:highlight w:val="none"/>
              </w:rPr>
              <w:t>几乎肯定</w:t>
            </w:r>
          </w:p>
        </w:tc>
        <w:tc>
          <w:tcPr>
            <w:tcW w:w="2356" w:type="pct"/>
            <w:tcBorders>
              <w:top w:val="single" w:color="auto" w:sz="8" w:space="0"/>
            </w:tcBorders>
            <w:shd w:val="clear" w:color="auto" w:fill="auto"/>
            <w:vAlign w:val="center"/>
          </w:tcPr>
          <w:p w14:paraId="7626247E">
            <w:pPr>
              <w:pStyle w:val="178"/>
              <w:jc w:val="both"/>
              <w:rPr>
                <w:highlight w:val="none"/>
              </w:rPr>
            </w:pPr>
            <w:r>
              <w:rPr>
                <w:rFonts w:hint="eastAsia"/>
                <w:highlight w:val="none"/>
              </w:rPr>
              <w:t>能否在原型机之前发现：以前的产品历史，相关的研究阶段测试</w:t>
            </w:r>
          </w:p>
        </w:tc>
      </w:tr>
      <w:tr w14:paraId="57D60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318" w:type="pct"/>
            <w:shd w:val="clear" w:color="auto" w:fill="auto"/>
            <w:vAlign w:val="center"/>
          </w:tcPr>
          <w:p w14:paraId="29204030">
            <w:pPr>
              <w:pStyle w:val="178"/>
              <w:rPr>
                <w:highlight w:val="none"/>
              </w:rPr>
            </w:pPr>
            <w:r>
              <w:rPr>
                <w:rFonts w:hint="eastAsia"/>
                <w:highlight w:val="none"/>
              </w:rPr>
              <w:t>2</w:t>
            </w:r>
          </w:p>
        </w:tc>
        <w:tc>
          <w:tcPr>
            <w:tcW w:w="1324" w:type="pct"/>
            <w:shd w:val="clear" w:color="auto" w:fill="auto"/>
            <w:vAlign w:val="center"/>
          </w:tcPr>
          <w:p w14:paraId="4638D08A">
            <w:pPr>
              <w:pStyle w:val="178"/>
              <w:rPr>
                <w:highlight w:val="none"/>
              </w:rPr>
            </w:pPr>
            <w:r>
              <w:rPr>
                <w:rFonts w:ascii="Times New Roman"/>
                <w:spacing w:val="11"/>
                <w:highlight w:val="none"/>
              </w:rPr>
              <w:t>很高</w:t>
            </w:r>
          </w:p>
        </w:tc>
        <w:tc>
          <w:tcPr>
            <w:tcW w:w="2356" w:type="pct"/>
            <w:vMerge w:val="restart"/>
            <w:shd w:val="clear" w:color="auto" w:fill="auto"/>
            <w:vAlign w:val="center"/>
          </w:tcPr>
          <w:p w14:paraId="3F62ABE1">
            <w:pPr>
              <w:pStyle w:val="178"/>
              <w:jc w:val="both"/>
              <w:rPr>
                <w:highlight w:val="none"/>
              </w:rPr>
            </w:pPr>
            <w:r>
              <w:rPr>
                <w:rFonts w:hint="eastAsia"/>
                <w:highlight w:val="none"/>
              </w:rPr>
              <w:t>能否在设计发布前检测到：设计验证，动物学研究结果和／或方案要求 的测试</w:t>
            </w:r>
          </w:p>
        </w:tc>
      </w:tr>
      <w:tr w14:paraId="4EB773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318" w:type="pct"/>
            <w:shd w:val="clear" w:color="auto" w:fill="auto"/>
            <w:vAlign w:val="center"/>
          </w:tcPr>
          <w:p w14:paraId="23ADE7D5">
            <w:pPr>
              <w:pStyle w:val="178"/>
              <w:rPr>
                <w:highlight w:val="none"/>
              </w:rPr>
            </w:pPr>
            <w:r>
              <w:rPr>
                <w:rFonts w:hint="eastAsia"/>
                <w:highlight w:val="none"/>
              </w:rPr>
              <w:t>3</w:t>
            </w:r>
          </w:p>
        </w:tc>
        <w:tc>
          <w:tcPr>
            <w:tcW w:w="1324" w:type="pct"/>
            <w:shd w:val="clear" w:color="auto" w:fill="auto"/>
            <w:vAlign w:val="center"/>
          </w:tcPr>
          <w:p w14:paraId="3488D9FA">
            <w:pPr>
              <w:pStyle w:val="178"/>
              <w:rPr>
                <w:highlight w:val="none"/>
              </w:rPr>
            </w:pPr>
            <w:r>
              <w:rPr>
                <w:rFonts w:ascii="Times New Roman"/>
                <w:highlight w:val="none"/>
              </w:rPr>
              <w:t>高</w:t>
            </w:r>
          </w:p>
        </w:tc>
        <w:tc>
          <w:tcPr>
            <w:tcW w:w="2356" w:type="pct"/>
            <w:vMerge w:val="continue"/>
            <w:shd w:val="clear" w:color="auto" w:fill="auto"/>
            <w:vAlign w:val="center"/>
          </w:tcPr>
          <w:p w14:paraId="29B462A4">
            <w:pPr>
              <w:pStyle w:val="178"/>
              <w:jc w:val="both"/>
              <w:rPr>
                <w:highlight w:val="none"/>
              </w:rPr>
            </w:pPr>
          </w:p>
        </w:tc>
      </w:tr>
      <w:tr w14:paraId="7ED90D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318" w:type="pct"/>
            <w:shd w:val="clear" w:color="auto" w:fill="auto"/>
            <w:vAlign w:val="center"/>
          </w:tcPr>
          <w:p w14:paraId="50824D22">
            <w:pPr>
              <w:pStyle w:val="178"/>
              <w:rPr>
                <w:highlight w:val="none"/>
              </w:rPr>
            </w:pPr>
            <w:r>
              <w:rPr>
                <w:rFonts w:hint="eastAsia"/>
                <w:highlight w:val="none"/>
              </w:rPr>
              <w:t>4</w:t>
            </w:r>
          </w:p>
        </w:tc>
        <w:tc>
          <w:tcPr>
            <w:tcW w:w="1324" w:type="pct"/>
            <w:shd w:val="clear" w:color="auto" w:fill="auto"/>
            <w:vAlign w:val="center"/>
          </w:tcPr>
          <w:p w14:paraId="6EE27369">
            <w:pPr>
              <w:pStyle w:val="178"/>
              <w:rPr>
                <w:highlight w:val="none"/>
              </w:rPr>
            </w:pPr>
            <w:r>
              <w:rPr>
                <w:rFonts w:ascii="Times New Roman"/>
                <w:spacing w:val="2"/>
                <w:highlight w:val="none"/>
              </w:rPr>
              <w:t>中上</w:t>
            </w:r>
          </w:p>
        </w:tc>
        <w:tc>
          <w:tcPr>
            <w:tcW w:w="2356" w:type="pct"/>
            <w:vMerge w:val="restart"/>
            <w:shd w:val="clear" w:color="auto" w:fill="auto"/>
            <w:vAlign w:val="center"/>
          </w:tcPr>
          <w:p w14:paraId="73CEDA27">
            <w:pPr>
              <w:pStyle w:val="178"/>
              <w:jc w:val="both"/>
              <w:rPr>
                <w:highlight w:val="none"/>
              </w:rPr>
            </w:pPr>
            <w:r>
              <w:rPr>
                <w:rFonts w:hint="eastAsia"/>
                <w:highlight w:val="none"/>
              </w:rPr>
              <w:t>能否在量产前被检测到：过程和产品确认</w:t>
            </w:r>
          </w:p>
        </w:tc>
      </w:tr>
      <w:tr w14:paraId="5FC629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318" w:type="pct"/>
            <w:shd w:val="clear" w:color="auto" w:fill="auto"/>
            <w:vAlign w:val="center"/>
          </w:tcPr>
          <w:p w14:paraId="3B24EC94">
            <w:pPr>
              <w:pStyle w:val="178"/>
              <w:rPr>
                <w:highlight w:val="none"/>
              </w:rPr>
            </w:pPr>
            <w:r>
              <w:rPr>
                <w:rFonts w:hint="eastAsia"/>
                <w:highlight w:val="none"/>
              </w:rPr>
              <w:t>5</w:t>
            </w:r>
          </w:p>
        </w:tc>
        <w:tc>
          <w:tcPr>
            <w:tcW w:w="1324" w:type="pct"/>
            <w:shd w:val="clear" w:color="auto" w:fill="auto"/>
            <w:vAlign w:val="center"/>
          </w:tcPr>
          <w:p w14:paraId="318D4618">
            <w:pPr>
              <w:pStyle w:val="178"/>
              <w:rPr>
                <w:highlight w:val="none"/>
              </w:rPr>
            </w:pPr>
            <w:r>
              <w:rPr>
                <w:rFonts w:ascii="Times New Roman"/>
                <w:spacing w:val="2"/>
                <w:highlight w:val="none"/>
              </w:rPr>
              <w:t>中等</w:t>
            </w:r>
          </w:p>
        </w:tc>
        <w:tc>
          <w:tcPr>
            <w:tcW w:w="2356" w:type="pct"/>
            <w:vMerge w:val="continue"/>
            <w:shd w:val="clear" w:color="auto" w:fill="auto"/>
            <w:vAlign w:val="center"/>
          </w:tcPr>
          <w:p w14:paraId="0236F18F">
            <w:pPr>
              <w:pStyle w:val="178"/>
              <w:jc w:val="both"/>
              <w:rPr>
                <w:highlight w:val="none"/>
              </w:rPr>
            </w:pPr>
          </w:p>
        </w:tc>
      </w:tr>
      <w:tr w14:paraId="575BE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318" w:type="pct"/>
            <w:shd w:val="clear" w:color="auto" w:fill="auto"/>
            <w:vAlign w:val="center"/>
          </w:tcPr>
          <w:p w14:paraId="1D5A3C3F">
            <w:pPr>
              <w:pStyle w:val="178"/>
              <w:rPr>
                <w:highlight w:val="none"/>
              </w:rPr>
            </w:pPr>
            <w:r>
              <w:rPr>
                <w:rFonts w:hint="eastAsia"/>
                <w:highlight w:val="none"/>
              </w:rPr>
              <w:t>6</w:t>
            </w:r>
          </w:p>
        </w:tc>
        <w:tc>
          <w:tcPr>
            <w:tcW w:w="1324" w:type="pct"/>
            <w:shd w:val="clear" w:color="auto" w:fill="auto"/>
            <w:vAlign w:val="center"/>
          </w:tcPr>
          <w:p w14:paraId="600ACF2C">
            <w:pPr>
              <w:pStyle w:val="178"/>
              <w:rPr>
                <w:highlight w:val="none"/>
              </w:rPr>
            </w:pPr>
            <w:r>
              <w:rPr>
                <w:rFonts w:ascii="Times New Roman"/>
                <w:spacing w:val="1"/>
                <w:highlight w:val="none"/>
              </w:rPr>
              <w:t>小</w:t>
            </w:r>
          </w:p>
        </w:tc>
        <w:tc>
          <w:tcPr>
            <w:tcW w:w="2356" w:type="pct"/>
            <w:vMerge w:val="restart"/>
            <w:shd w:val="clear" w:color="auto" w:fill="auto"/>
            <w:vAlign w:val="center"/>
          </w:tcPr>
          <w:p w14:paraId="383F9D28">
            <w:pPr>
              <w:pStyle w:val="178"/>
              <w:jc w:val="both"/>
              <w:rPr>
                <w:highlight w:val="none"/>
              </w:rPr>
            </w:pPr>
            <w:r>
              <w:rPr>
                <w:rFonts w:hint="eastAsia"/>
                <w:highlight w:val="none"/>
              </w:rPr>
              <w:t>能否在出厂前被检测到：在线检测、出厂放行测试</w:t>
            </w:r>
          </w:p>
        </w:tc>
      </w:tr>
      <w:tr w14:paraId="47E41F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1318" w:type="pct"/>
            <w:shd w:val="clear" w:color="auto" w:fill="auto"/>
            <w:vAlign w:val="center"/>
          </w:tcPr>
          <w:p w14:paraId="262BD1A7">
            <w:pPr>
              <w:pStyle w:val="178"/>
              <w:rPr>
                <w:highlight w:val="none"/>
              </w:rPr>
            </w:pPr>
            <w:r>
              <w:rPr>
                <w:rFonts w:hint="eastAsia"/>
                <w:highlight w:val="none"/>
              </w:rPr>
              <w:t>7</w:t>
            </w:r>
          </w:p>
        </w:tc>
        <w:tc>
          <w:tcPr>
            <w:tcW w:w="1324" w:type="pct"/>
            <w:shd w:val="clear" w:color="auto" w:fill="auto"/>
            <w:vAlign w:val="center"/>
          </w:tcPr>
          <w:p w14:paraId="159B2E0B">
            <w:pPr>
              <w:pStyle w:val="178"/>
              <w:rPr>
                <w:highlight w:val="none"/>
              </w:rPr>
            </w:pPr>
            <w:r>
              <w:rPr>
                <w:rFonts w:ascii="Times New Roman"/>
                <w:spacing w:val="11"/>
                <w:highlight w:val="none"/>
              </w:rPr>
              <w:t>很小</w:t>
            </w:r>
          </w:p>
        </w:tc>
        <w:tc>
          <w:tcPr>
            <w:tcW w:w="2356" w:type="pct"/>
            <w:vMerge w:val="continue"/>
            <w:shd w:val="clear" w:color="auto" w:fill="auto"/>
            <w:vAlign w:val="center"/>
          </w:tcPr>
          <w:p w14:paraId="4511C68F">
            <w:pPr>
              <w:pStyle w:val="178"/>
              <w:jc w:val="both"/>
              <w:rPr>
                <w:highlight w:val="none"/>
              </w:rPr>
            </w:pPr>
          </w:p>
        </w:tc>
      </w:tr>
      <w:tr w14:paraId="4337F9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318" w:type="pct"/>
            <w:shd w:val="clear" w:color="auto" w:fill="auto"/>
            <w:vAlign w:val="center"/>
          </w:tcPr>
          <w:p w14:paraId="24B9054F">
            <w:pPr>
              <w:pStyle w:val="178"/>
              <w:rPr>
                <w:highlight w:val="none"/>
              </w:rPr>
            </w:pPr>
            <w:r>
              <w:rPr>
                <w:rFonts w:hint="eastAsia"/>
                <w:highlight w:val="none"/>
              </w:rPr>
              <w:t>8</w:t>
            </w:r>
          </w:p>
        </w:tc>
        <w:tc>
          <w:tcPr>
            <w:tcW w:w="1324" w:type="pct"/>
            <w:shd w:val="clear" w:color="auto" w:fill="auto"/>
            <w:vAlign w:val="center"/>
          </w:tcPr>
          <w:p w14:paraId="48856064">
            <w:pPr>
              <w:pStyle w:val="178"/>
              <w:rPr>
                <w:highlight w:val="none"/>
              </w:rPr>
            </w:pPr>
            <w:r>
              <w:rPr>
                <w:rFonts w:ascii="Times New Roman"/>
                <w:spacing w:val="11"/>
                <w:highlight w:val="none"/>
              </w:rPr>
              <w:t>微小</w:t>
            </w:r>
          </w:p>
        </w:tc>
        <w:tc>
          <w:tcPr>
            <w:tcW w:w="2356" w:type="pct"/>
            <w:shd w:val="clear" w:color="auto" w:fill="auto"/>
            <w:vAlign w:val="center"/>
          </w:tcPr>
          <w:p w14:paraId="4CBE1F04">
            <w:pPr>
              <w:pStyle w:val="178"/>
              <w:jc w:val="both"/>
              <w:rPr>
                <w:highlight w:val="none"/>
              </w:rPr>
            </w:pPr>
            <w:r>
              <w:rPr>
                <w:rFonts w:hint="eastAsia"/>
                <w:highlight w:val="none"/>
              </w:rPr>
              <w:t>能否在发货后，但在最终用户前检测到</w:t>
            </w:r>
          </w:p>
        </w:tc>
      </w:tr>
      <w:tr w14:paraId="6141F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318" w:type="pct"/>
            <w:shd w:val="clear" w:color="auto" w:fill="auto"/>
            <w:vAlign w:val="center"/>
          </w:tcPr>
          <w:p w14:paraId="6ABEEEB1">
            <w:pPr>
              <w:pStyle w:val="178"/>
              <w:rPr>
                <w:highlight w:val="none"/>
              </w:rPr>
            </w:pPr>
            <w:r>
              <w:rPr>
                <w:rFonts w:hint="eastAsia"/>
                <w:highlight w:val="none"/>
              </w:rPr>
              <w:t>9</w:t>
            </w:r>
          </w:p>
        </w:tc>
        <w:tc>
          <w:tcPr>
            <w:tcW w:w="1324" w:type="pct"/>
            <w:shd w:val="clear" w:color="auto" w:fill="auto"/>
            <w:vAlign w:val="center"/>
          </w:tcPr>
          <w:p w14:paraId="04F9153A">
            <w:pPr>
              <w:pStyle w:val="178"/>
              <w:rPr>
                <w:highlight w:val="none"/>
              </w:rPr>
            </w:pPr>
            <w:r>
              <w:rPr>
                <w:rFonts w:ascii="Times New Roman"/>
                <w:spacing w:val="14"/>
                <w:highlight w:val="none"/>
              </w:rPr>
              <w:t>很微小</w:t>
            </w:r>
          </w:p>
        </w:tc>
        <w:tc>
          <w:tcPr>
            <w:tcW w:w="2356" w:type="pct"/>
            <w:shd w:val="clear" w:color="auto" w:fill="auto"/>
            <w:vAlign w:val="center"/>
          </w:tcPr>
          <w:p w14:paraId="72CE5D70">
            <w:pPr>
              <w:pStyle w:val="178"/>
              <w:jc w:val="both"/>
              <w:rPr>
                <w:highlight w:val="none"/>
              </w:rPr>
            </w:pPr>
            <w:r>
              <w:rPr>
                <w:rFonts w:hint="eastAsia"/>
                <w:highlight w:val="none"/>
              </w:rPr>
              <w:t>能否在失效发生前检测到：使用说明、标签</w:t>
            </w:r>
          </w:p>
        </w:tc>
      </w:tr>
      <w:tr w14:paraId="35FC94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318" w:type="pct"/>
            <w:shd w:val="clear" w:color="auto" w:fill="auto"/>
            <w:vAlign w:val="center"/>
          </w:tcPr>
          <w:p w14:paraId="5C49250A">
            <w:pPr>
              <w:pStyle w:val="178"/>
              <w:rPr>
                <w:highlight w:val="none"/>
              </w:rPr>
            </w:pPr>
            <w:r>
              <w:rPr>
                <w:rFonts w:hint="eastAsia"/>
                <w:highlight w:val="none"/>
              </w:rPr>
              <w:t>10</w:t>
            </w:r>
          </w:p>
        </w:tc>
        <w:tc>
          <w:tcPr>
            <w:tcW w:w="1324" w:type="pct"/>
            <w:shd w:val="clear" w:color="auto" w:fill="auto"/>
            <w:vAlign w:val="center"/>
          </w:tcPr>
          <w:p w14:paraId="25C86B6E">
            <w:pPr>
              <w:pStyle w:val="178"/>
              <w:rPr>
                <w:highlight w:val="none"/>
              </w:rPr>
            </w:pPr>
            <w:r>
              <w:rPr>
                <w:rFonts w:ascii="Times New Roman"/>
                <w:spacing w:val="16"/>
                <w:highlight w:val="none"/>
              </w:rPr>
              <w:t>几乎不可能</w:t>
            </w:r>
          </w:p>
        </w:tc>
        <w:tc>
          <w:tcPr>
            <w:tcW w:w="2356" w:type="pct"/>
            <w:shd w:val="clear" w:color="auto" w:fill="auto"/>
            <w:vAlign w:val="center"/>
          </w:tcPr>
          <w:p w14:paraId="420A3D28">
            <w:pPr>
              <w:pStyle w:val="178"/>
              <w:jc w:val="both"/>
              <w:rPr>
                <w:highlight w:val="none"/>
              </w:rPr>
            </w:pPr>
            <w:r>
              <w:rPr>
                <w:rFonts w:hint="eastAsia"/>
                <w:highlight w:val="none"/>
              </w:rPr>
              <w:t>直到在用户现场发现失效才能被检测到</w:t>
            </w:r>
          </w:p>
        </w:tc>
      </w:tr>
    </w:tbl>
    <w:p w14:paraId="2CF664A4">
      <w:pPr>
        <w:pStyle w:val="56"/>
        <w:ind w:firstLine="420"/>
      </w:pPr>
    </w:p>
    <w:p w14:paraId="03AD2B5D">
      <w:pPr>
        <w:pStyle w:val="56"/>
        <w:ind w:firstLine="420"/>
        <w:rPr>
          <w:rFonts w:hint="eastAsia" w:ascii="宋体" w:hAnsi="Times New Roman" w:eastAsia="宋体" w:cs="Times New Roman"/>
        </w:rPr>
      </w:pPr>
      <w:r>
        <w:rPr>
          <w:rFonts w:hint="eastAsia" w:ascii="宋体" w:hAnsi="Times New Roman" w:eastAsia="宋体" w:cs="Times New Roman"/>
        </w:rPr>
        <w:t>根据所识别到的失效模式及分析所得失效原因和失效影响，可以获得机械臂关节 1 的</w:t>
      </w:r>
      <w:r>
        <w:rPr>
          <w:rFonts w:hint="eastAsia" w:ascii="宋体" w:hAnsi="Times New Roman" w:eastAsia="宋体" w:cs="Times New Roman"/>
          <w:lang w:eastAsia="zh-CN"/>
        </w:rPr>
        <w:t>危害性</w:t>
      </w:r>
      <w:r>
        <w:rPr>
          <w:rFonts w:hint="eastAsia" w:ascii="宋体" w:hAnsi="Times New Roman" w:eastAsia="宋体" w:cs="Times New Roman"/>
        </w:rPr>
        <w:t>分析 见表 A.7。医疗机器人的</w:t>
      </w:r>
      <w:r>
        <w:rPr>
          <w:rFonts w:hint="eastAsia" w:ascii="宋体" w:hAnsi="Times New Roman" w:eastAsia="宋体" w:cs="Times New Roman"/>
          <w:lang w:eastAsia="zh-CN"/>
        </w:rPr>
        <w:t>危害性</w:t>
      </w:r>
      <w:r>
        <w:rPr>
          <w:rFonts w:hint="eastAsia" w:ascii="宋体" w:hAnsi="Times New Roman" w:eastAsia="宋体" w:cs="Times New Roman"/>
        </w:rPr>
        <w:t>接受准则为：当 S/O 矩阵中标记为“×”或者 RPN 值 ≥120 时，风险不可接受；否则，风险可接受。 S/O 矩阵可见表 A.8。</w:t>
      </w:r>
    </w:p>
    <w:p w14:paraId="36D2D786">
      <w:pPr>
        <w:pStyle w:val="56"/>
        <w:ind w:firstLine="420"/>
      </w:pPr>
      <w:r>
        <w:rPr>
          <w:rFonts w:hint="eastAsia" w:ascii="宋体" w:hAnsi="Times New Roman" w:eastAsia="宋体" w:cs="Times New Roman"/>
        </w:rPr>
        <w:t>根据 RPN</w:t>
      </w:r>
      <w:r>
        <w:rPr>
          <w:rFonts w:ascii="宋体" w:hAnsi="Times New Roman" w:eastAsia="宋体" w:cs="Times New Roman"/>
        </w:rPr>
        <w:t xml:space="preserve"> </w:t>
      </w:r>
      <w:r>
        <w:rPr>
          <w:rFonts w:hint="eastAsia" w:ascii="宋体" w:hAnsi="Times New Roman" w:eastAsia="宋体" w:cs="Times New Roman"/>
        </w:rPr>
        <w:t>值及 S/O 矩阵可知，3 项失效模式中，有 2 项可接受，1 项不可接受。本着尽量降低</w:t>
      </w:r>
      <w:r>
        <w:rPr>
          <w:rFonts w:hint="eastAsia" w:ascii="宋体" w:hAnsi="Times New Roman" w:eastAsia="宋体" w:cs="Times New Roman"/>
          <w:lang w:eastAsia="zh-CN"/>
        </w:rPr>
        <w:t>危害性</w:t>
      </w:r>
      <w:r>
        <w:rPr>
          <w:rFonts w:hint="eastAsia" w:ascii="宋体" w:hAnsi="Times New Roman" w:eastAsia="宋体" w:cs="Times New Roman"/>
        </w:rPr>
        <w:t>的原则，针对此 3 项潜在失效，实际工作中均采取了增加检测及补偿措施。</w:t>
      </w:r>
    </w:p>
    <w:p w14:paraId="76F01162">
      <w:pPr>
        <w:pStyle w:val="77"/>
        <w:spacing w:before="120" w:after="120"/>
      </w:pPr>
      <w:r>
        <w:rPr>
          <w:rFonts w:hint="eastAsia"/>
        </w:rPr>
        <w:t xml:space="preserve">机械臂关节 1 </w:t>
      </w:r>
      <w:r>
        <w:rPr>
          <w:rFonts w:hint="eastAsia"/>
          <w:lang w:eastAsia="zh-CN"/>
        </w:rPr>
        <w:t>危害性</w:t>
      </w:r>
      <w:r>
        <w:rPr>
          <w:rFonts w:hint="eastAsia"/>
        </w:rPr>
        <w:t>分析</w:t>
      </w:r>
    </w:p>
    <w:tbl>
      <w:tblPr>
        <w:tblStyle w:val="231"/>
        <w:tblW w:w="5007"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0" w:type="dxa"/>
          <w:bottom w:w="0" w:type="dxa"/>
          <w:right w:w="0" w:type="dxa"/>
        </w:tblCellMar>
      </w:tblPr>
      <w:tblGrid>
        <w:gridCol w:w="1472"/>
        <w:gridCol w:w="2749"/>
        <w:gridCol w:w="1100"/>
        <w:gridCol w:w="1100"/>
        <w:gridCol w:w="732"/>
        <w:gridCol w:w="824"/>
        <w:gridCol w:w="826"/>
        <w:gridCol w:w="574"/>
      </w:tblGrid>
      <w:tr w14:paraId="066850C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20" w:hRule="atLeast"/>
        </w:trPr>
        <w:tc>
          <w:tcPr>
            <w:tcW w:w="785" w:type="pct"/>
            <w:tcBorders>
              <w:top w:val="single" w:color="000000" w:sz="4" w:space="0"/>
              <w:left w:val="single" w:color="000000" w:sz="4" w:space="0"/>
              <w:bottom w:val="single" w:color="000000" w:sz="4" w:space="0"/>
              <w:right w:val="single" w:color="000000" w:sz="4" w:space="0"/>
            </w:tcBorders>
            <w:vAlign w:val="center"/>
          </w:tcPr>
          <w:p w14:paraId="7CF4AC9C">
            <w:pPr>
              <w:pStyle w:val="178"/>
              <w:rPr>
                <w:rFonts w:ascii="Times New Roman" w:eastAsia="宋体" w:cs="Times New Roman"/>
                <w:spacing w:val="11"/>
              </w:rPr>
            </w:pPr>
            <w:r>
              <w:rPr>
                <w:rFonts w:ascii="Times New Roman" w:eastAsia="宋体" w:cs="Times New Roman"/>
                <w:spacing w:val="11"/>
              </w:rPr>
              <w:t>失效模式</w:t>
            </w:r>
          </w:p>
        </w:tc>
        <w:tc>
          <w:tcPr>
            <w:tcW w:w="1465" w:type="pct"/>
            <w:tcBorders>
              <w:top w:val="single" w:color="000000" w:sz="4" w:space="0"/>
              <w:left w:val="single" w:color="000000" w:sz="4" w:space="0"/>
              <w:bottom w:val="single" w:color="000000" w:sz="4" w:space="0"/>
              <w:right w:val="single" w:color="000000" w:sz="4" w:space="0"/>
            </w:tcBorders>
            <w:vAlign w:val="center"/>
          </w:tcPr>
          <w:p w14:paraId="225482BA">
            <w:pPr>
              <w:pStyle w:val="178"/>
              <w:rPr>
                <w:rFonts w:ascii="Times New Roman" w:eastAsia="宋体" w:cs="Times New Roman"/>
                <w:spacing w:val="11"/>
              </w:rPr>
            </w:pPr>
            <w:r>
              <w:rPr>
                <w:rFonts w:ascii="Times New Roman" w:eastAsia="宋体" w:cs="Times New Roman"/>
                <w:spacing w:val="11"/>
              </w:rPr>
              <w:t>失效原因</w:t>
            </w:r>
          </w:p>
        </w:tc>
        <w:tc>
          <w:tcPr>
            <w:tcW w:w="586" w:type="pct"/>
            <w:tcBorders>
              <w:top w:val="single" w:color="000000" w:sz="4" w:space="0"/>
              <w:left w:val="single" w:color="000000" w:sz="4" w:space="0"/>
              <w:bottom w:val="single" w:color="000000" w:sz="4" w:space="0"/>
              <w:right w:val="single" w:color="000000" w:sz="4" w:space="0"/>
            </w:tcBorders>
            <w:vAlign w:val="center"/>
          </w:tcPr>
          <w:p w14:paraId="07ED6F7B">
            <w:pPr>
              <w:pStyle w:val="178"/>
              <w:rPr>
                <w:rFonts w:ascii="Times New Roman" w:eastAsia="宋体" w:cs="Times New Roman"/>
                <w:spacing w:val="11"/>
              </w:rPr>
            </w:pPr>
            <w:r>
              <w:rPr>
                <w:rFonts w:ascii="Times New Roman" w:eastAsia="宋体" w:cs="Times New Roman"/>
                <w:spacing w:val="11"/>
              </w:rPr>
              <w:t>局部影响</w:t>
            </w:r>
          </w:p>
        </w:tc>
        <w:tc>
          <w:tcPr>
            <w:tcW w:w="586" w:type="pct"/>
            <w:tcBorders>
              <w:top w:val="single" w:color="000000" w:sz="4" w:space="0"/>
              <w:left w:val="single" w:color="000000" w:sz="4" w:space="0"/>
              <w:bottom w:val="single" w:color="000000" w:sz="4" w:space="0"/>
              <w:right w:val="single" w:color="000000" w:sz="4" w:space="0"/>
            </w:tcBorders>
            <w:vAlign w:val="center"/>
          </w:tcPr>
          <w:p w14:paraId="2381251E">
            <w:pPr>
              <w:pStyle w:val="178"/>
              <w:rPr>
                <w:rFonts w:ascii="Times New Roman" w:eastAsia="宋体" w:cs="Times New Roman"/>
                <w:spacing w:val="11"/>
              </w:rPr>
            </w:pPr>
            <w:r>
              <w:rPr>
                <w:rFonts w:ascii="Times New Roman" w:eastAsia="宋体" w:cs="Times New Roman"/>
                <w:spacing w:val="11"/>
              </w:rPr>
              <w:t>最终影响</w:t>
            </w:r>
          </w:p>
        </w:tc>
        <w:tc>
          <w:tcPr>
            <w:tcW w:w="390" w:type="pct"/>
            <w:tcBorders>
              <w:top w:val="single" w:color="000000" w:sz="4" w:space="0"/>
              <w:left w:val="single" w:color="000000" w:sz="4" w:space="0"/>
              <w:bottom w:val="single" w:color="000000" w:sz="4" w:space="0"/>
              <w:right w:val="single" w:color="000000" w:sz="4" w:space="0"/>
            </w:tcBorders>
            <w:vAlign w:val="center"/>
          </w:tcPr>
          <w:p w14:paraId="0DCC0D78">
            <w:pPr>
              <w:pStyle w:val="178"/>
              <w:rPr>
                <w:rFonts w:ascii="Times New Roman" w:eastAsia="宋体" w:cs="Times New Roman"/>
                <w:spacing w:val="11"/>
              </w:rPr>
            </w:pPr>
            <w:r>
              <w:rPr>
                <w:rFonts w:hint="eastAsia" w:ascii="Times New Roman" w:cs="Times New Roman"/>
                <w:spacing w:val="11"/>
                <w:lang w:eastAsia="zh-CN"/>
              </w:rPr>
              <w:t>严重度</w:t>
            </w:r>
            <w:r>
              <w:rPr>
                <w:rFonts w:ascii="Times New Roman" w:eastAsia="宋体" w:cs="Times New Roman"/>
                <w:spacing w:val="11"/>
              </w:rPr>
              <w:t>(S)</w:t>
            </w:r>
          </w:p>
        </w:tc>
        <w:tc>
          <w:tcPr>
            <w:tcW w:w="439" w:type="pct"/>
            <w:tcBorders>
              <w:top w:val="single" w:color="000000" w:sz="4" w:space="0"/>
              <w:left w:val="single" w:color="000000" w:sz="4" w:space="0"/>
              <w:bottom w:val="single" w:color="000000" w:sz="4" w:space="0"/>
              <w:right w:val="single" w:color="000000" w:sz="4" w:space="0"/>
            </w:tcBorders>
            <w:vAlign w:val="center"/>
          </w:tcPr>
          <w:p w14:paraId="77F34DF0">
            <w:pPr>
              <w:pStyle w:val="178"/>
              <w:rPr>
                <w:rFonts w:ascii="Times New Roman" w:eastAsia="宋体" w:cs="Times New Roman"/>
                <w:spacing w:val="11"/>
              </w:rPr>
            </w:pPr>
            <w:r>
              <w:rPr>
                <w:rFonts w:ascii="Times New Roman" w:eastAsia="宋体" w:cs="Times New Roman"/>
                <w:spacing w:val="11"/>
              </w:rPr>
              <w:t>发生概率(O)</w:t>
            </w:r>
          </w:p>
        </w:tc>
        <w:tc>
          <w:tcPr>
            <w:tcW w:w="440" w:type="pct"/>
            <w:tcBorders>
              <w:top w:val="single" w:color="000000" w:sz="4" w:space="0"/>
              <w:left w:val="single" w:color="000000" w:sz="4" w:space="0"/>
              <w:bottom w:val="single" w:color="000000" w:sz="4" w:space="0"/>
              <w:right w:val="single" w:color="000000" w:sz="4" w:space="0"/>
            </w:tcBorders>
            <w:vAlign w:val="center"/>
          </w:tcPr>
          <w:p w14:paraId="617F38FD">
            <w:pPr>
              <w:pStyle w:val="178"/>
              <w:rPr>
                <w:rFonts w:ascii="Times New Roman" w:eastAsia="宋体" w:cs="Times New Roman"/>
                <w:spacing w:val="11"/>
              </w:rPr>
            </w:pPr>
            <w:r>
              <w:rPr>
                <w:rFonts w:ascii="Times New Roman" w:eastAsia="宋体" w:cs="Times New Roman"/>
                <w:spacing w:val="11"/>
              </w:rPr>
              <w:t>可探测度(D)</w:t>
            </w:r>
          </w:p>
        </w:tc>
        <w:tc>
          <w:tcPr>
            <w:tcW w:w="306" w:type="pct"/>
            <w:tcBorders>
              <w:top w:val="single" w:color="000000" w:sz="4" w:space="0"/>
              <w:left w:val="single" w:color="000000" w:sz="4" w:space="0"/>
              <w:bottom w:val="single" w:color="000000" w:sz="4" w:space="0"/>
              <w:right w:val="single" w:color="000000" w:sz="4" w:space="0"/>
            </w:tcBorders>
            <w:vAlign w:val="center"/>
          </w:tcPr>
          <w:p w14:paraId="43A4A46D">
            <w:pPr>
              <w:pStyle w:val="178"/>
              <w:rPr>
                <w:rFonts w:ascii="Times New Roman" w:eastAsia="宋体" w:cs="Times New Roman"/>
                <w:spacing w:val="11"/>
              </w:rPr>
            </w:pPr>
            <w:r>
              <w:rPr>
                <w:rFonts w:ascii="Times New Roman" w:eastAsia="宋体" w:cs="Times New Roman"/>
                <w:spacing w:val="11"/>
              </w:rPr>
              <w:t>RPN</w:t>
            </w:r>
          </w:p>
        </w:tc>
      </w:tr>
      <w:tr w14:paraId="1F15F4F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8" w:hRule="atLeast"/>
        </w:trPr>
        <w:tc>
          <w:tcPr>
            <w:tcW w:w="785" w:type="pct"/>
            <w:tcBorders>
              <w:top w:val="single" w:color="000000" w:sz="4" w:space="0"/>
              <w:left w:val="single" w:color="000000" w:sz="4" w:space="0"/>
              <w:bottom w:val="single" w:color="000000" w:sz="4" w:space="0"/>
              <w:right w:val="single" w:color="000000" w:sz="4" w:space="0"/>
            </w:tcBorders>
            <w:vAlign w:val="center"/>
          </w:tcPr>
          <w:p w14:paraId="3D653BEC">
            <w:pPr>
              <w:pStyle w:val="178"/>
              <w:rPr>
                <w:rFonts w:ascii="Times New Roman" w:eastAsia="宋体" w:cs="Times New Roman"/>
                <w:spacing w:val="11"/>
              </w:rPr>
            </w:pPr>
            <w:r>
              <w:rPr>
                <w:rFonts w:ascii="Times New Roman" w:eastAsia="宋体" w:cs="Times New Roman"/>
                <w:spacing w:val="11"/>
              </w:rPr>
              <w:t>掉落</w:t>
            </w:r>
          </w:p>
        </w:tc>
        <w:tc>
          <w:tcPr>
            <w:tcW w:w="1465" w:type="pct"/>
            <w:tcBorders>
              <w:top w:val="single" w:color="000000" w:sz="4" w:space="0"/>
              <w:left w:val="single" w:color="000000" w:sz="4" w:space="0"/>
              <w:bottom w:val="single" w:color="000000" w:sz="4" w:space="0"/>
              <w:right w:val="single" w:color="000000" w:sz="4" w:space="0"/>
            </w:tcBorders>
            <w:vAlign w:val="center"/>
          </w:tcPr>
          <w:p w14:paraId="17E39F47">
            <w:pPr>
              <w:pStyle w:val="178"/>
              <w:rPr>
                <w:rFonts w:ascii="Times New Roman" w:eastAsia="宋体" w:cs="Times New Roman"/>
                <w:spacing w:val="11"/>
              </w:rPr>
            </w:pPr>
            <w:r>
              <w:rPr>
                <w:rFonts w:hint="eastAsia" w:ascii="Times New Roman" w:eastAsia="宋体" w:cs="Times New Roman"/>
                <w:spacing w:val="11"/>
              </w:rPr>
              <w:t>关节 1</w:t>
            </w:r>
            <w:r>
              <w:rPr>
                <w:rFonts w:ascii="Times New Roman" w:eastAsia="宋体" w:cs="Times New Roman"/>
                <w:spacing w:val="11"/>
              </w:rPr>
              <w:t xml:space="preserve"> </w:t>
            </w:r>
            <w:r>
              <w:rPr>
                <w:rFonts w:hint="eastAsia" w:ascii="Times New Roman" w:eastAsia="宋体" w:cs="Times New Roman"/>
                <w:spacing w:val="11"/>
              </w:rPr>
              <w:t>与调整臂连接组件强度不足，受过载或冲击而断裂</w:t>
            </w:r>
          </w:p>
        </w:tc>
        <w:tc>
          <w:tcPr>
            <w:tcW w:w="586" w:type="pct"/>
            <w:tcBorders>
              <w:top w:val="single" w:color="000000" w:sz="4" w:space="0"/>
              <w:left w:val="single" w:color="000000" w:sz="4" w:space="0"/>
              <w:bottom w:val="single" w:color="000000" w:sz="4" w:space="0"/>
              <w:right w:val="single" w:color="000000" w:sz="4" w:space="0"/>
            </w:tcBorders>
            <w:vAlign w:val="center"/>
          </w:tcPr>
          <w:p w14:paraId="296E787E">
            <w:pPr>
              <w:pStyle w:val="178"/>
              <w:rPr>
                <w:rFonts w:ascii="Times New Roman" w:eastAsia="宋体" w:cs="Times New Roman"/>
                <w:spacing w:val="11"/>
              </w:rPr>
            </w:pPr>
            <w:r>
              <w:rPr>
                <w:rFonts w:ascii="Times New Roman" w:eastAsia="宋体" w:cs="Times New Roman"/>
                <w:spacing w:val="11"/>
              </w:rPr>
              <w:t>机械臂掉落</w:t>
            </w:r>
          </w:p>
        </w:tc>
        <w:tc>
          <w:tcPr>
            <w:tcW w:w="586" w:type="pct"/>
            <w:tcBorders>
              <w:top w:val="single" w:color="000000" w:sz="4" w:space="0"/>
              <w:left w:val="single" w:color="000000" w:sz="4" w:space="0"/>
              <w:bottom w:val="single" w:color="000000" w:sz="4" w:space="0"/>
              <w:right w:val="single" w:color="000000" w:sz="4" w:space="0"/>
            </w:tcBorders>
            <w:vAlign w:val="center"/>
          </w:tcPr>
          <w:p w14:paraId="13797AAA">
            <w:pPr>
              <w:pStyle w:val="178"/>
              <w:rPr>
                <w:rFonts w:ascii="Times New Roman" w:eastAsia="宋体" w:cs="Times New Roman"/>
                <w:spacing w:val="11"/>
              </w:rPr>
            </w:pPr>
            <w:r>
              <w:rPr>
                <w:rFonts w:ascii="Times New Roman" w:eastAsia="宋体" w:cs="Times New Roman"/>
                <w:spacing w:val="11"/>
              </w:rPr>
              <w:t>手术中掉落 造成死亡</w:t>
            </w:r>
          </w:p>
        </w:tc>
        <w:tc>
          <w:tcPr>
            <w:tcW w:w="390" w:type="pct"/>
            <w:tcBorders>
              <w:top w:val="single" w:color="000000" w:sz="4" w:space="0"/>
              <w:left w:val="single" w:color="000000" w:sz="4" w:space="0"/>
              <w:bottom w:val="single" w:color="000000" w:sz="4" w:space="0"/>
              <w:right w:val="single" w:color="000000" w:sz="4" w:space="0"/>
            </w:tcBorders>
            <w:vAlign w:val="center"/>
          </w:tcPr>
          <w:p w14:paraId="7FFABA81">
            <w:pPr>
              <w:pStyle w:val="178"/>
              <w:rPr>
                <w:rFonts w:ascii="Times New Roman" w:eastAsia="宋体" w:cs="Times New Roman"/>
                <w:spacing w:val="11"/>
              </w:rPr>
            </w:pPr>
            <w:r>
              <w:rPr>
                <w:rFonts w:ascii="Times New Roman" w:eastAsia="宋体" w:cs="Times New Roman"/>
                <w:spacing w:val="11"/>
              </w:rPr>
              <w:t>6</w:t>
            </w:r>
          </w:p>
        </w:tc>
        <w:tc>
          <w:tcPr>
            <w:tcW w:w="439" w:type="pct"/>
            <w:tcBorders>
              <w:top w:val="single" w:color="000000" w:sz="4" w:space="0"/>
              <w:left w:val="single" w:color="000000" w:sz="4" w:space="0"/>
              <w:bottom w:val="single" w:color="000000" w:sz="4" w:space="0"/>
              <w:right w:val="single" w:color="000000" w:sz="4" w:space="0"/>
            </w:tcBorders>
            <w:vAlign w:val="center"/>
          </w:tcPr>
          <w:p w14:paraId="23CCA138">
            <w:pPr>
              <w:pStyle w:val="178"/>
              <w:rPr>
                <w:rFonts w:ascii="Times New Roman" w:eastAsia="宋体" w:cs="Times New Roman"/>
                <w:spacing w:val="11"/>
              </w:rPr>
            </w:pPr>
            <w:r>
              <w:rPr>
                <w:rFonts w:ascii="Times New Roman" w:eastAsia="宋体" w:cs="Times New Roman"/>
                <w:spacing w:val="11"/>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67D7B269">
            <w:pPr>
              <w:pStyle w:val="178"/>
              <w:rPr>
                <w:rFonts w:ascii="Times New Roman" w:eastAsia="宋体" w:cs="Times New Roman"/>
                <w:spacing w:val="11"/>
              </w:rPr>
            </w:pPr>
            <w:r>
              <w:rPr>
                <w:rFonts w:ascii="Times New Roman" w:eastAsia="宋体" w:cs="Times New Roman"/>
                <w:spacing w:val="11"/>
              </w:rPr>
              <w:t>3</w:t>
            </w:r>
          </w:p>
        </w:tc>
        <w:tc>
          <w:tcPr>
            <w:tcW w:w="306" w:type="pct"/>
            <w:tcBorders>
              <w:top w:val="single" w:color="000000" w:sz="4" w:space="0"/>
              <w:left w:val="single" w:color="000000" w:sz="4" w:space="0"/>
              <w:bottom w:val="single" w:color="000000" w:sz="4" w:space="0"/>
              <w:right w:val="single" w:color="000000" w:sz="4" w:space="0"/>
            </w:tcBorders>
            <w:vAlign w:val="center"/>
          </w:tcPr>
          <w:p w14:paraId="2C7C8EBB">
            <w:pPr>
              <w:pStyle w:val="178"/>
              <w:rPr>
                <w:rFonts w:ascii="Times New Roman" w:eastAsia="宋体" w:cs="Times New Roman"/>
                <w:spacing w:val="11"/>
              </w:rPr>
            </w:pPr>
            <w:r>
              <w:rPr>
                <w:rFonts w:ascii="Times New Roman" w:eastAsia="宋体" w:cs="Times New Roman"/>
                <w:spacing w:val="11"/>
              </w:rPr>
              <w:t>18</w:t>
            </w:r>
          </w:p>
        </w:tc>
      </w:tr>
      <w:tr w14:paraId="5B560F9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97" w:hRule="atLeast"/>
        </w:trPr>
        <w:tc>
          <w:tcPr>
            <w:tcW w:w="785" w:type="pct"/>
            <w:tcBorders>
              <w:top w:val="single" w:color="000000" w:sz="4" w:space="0"/>
              <w:left w:val="single" w:color="000000" w:sz="4" w:space="0"/>
              <w:bottom w:val="single" w:color="000000" w:sz="4" w:space="0"/>
              <w:right w:val="single" w:color="000000" w:sz="4" w:space="0"/>
            </w:tcBorders>
            <w:vAlign w:val="center"/>
          </w:tcPr>
          <w:p w14:paraId="056CF3E3">
            <w:pPr>
              <w:pStyle w:val="178"/>
              <w:rPr>
                <w:rFonts w:ascii="Times New Roman" w:eastAsia="宋体" w:cs="Times New Roman"/>
                <w:spacing w:val="11"/>
              </w:rPr>
            </w:pPr>
            <w:r>
              <w:rPr>
                <w:rFonts w:ascii="Times New Roman" w:eastAsia="宋体" w:cs="Times New Roman"/>
                <w:spacing w:val="11"/>
              </w:rPr>
              <w:t>不能手动调整</w:t>
            </w:r>
          </w:p>
        </w:tc>
        <w:tc>
          <w:tcPr>
            <w:tcW w:w="1465" w:type="pct"/>
            <w:tcBorders>
              <w:top w:val="single" w:color="000000" w:sz="4" w:space="0"/>
              <w:left w:val="single" w:color="000000" w:sz="4" w:space="0"/>
              <w:bottom w:val="single" w:color="000000" w:sz="4" w:space="0"/>
              <w:right w:val="single" w:color="000000" w:sz="4" w:space="0"/>
            </w:tcBorders>
            <w:vAlign w:val="center"/>
          </w:tcPr>
          <w:p w14:paraId="66FBBF30">
            <w:pPr>
              <w:pStyle w:val="178"/>
              <w:rPr>
                <w:rFonts w:ascii="Times New Roman" w:eastAsia="宋体" w:cs="Times New Roman"/>
                <w:spacing w:val="11"/>
              </w:rPr>
            </w:pPr>
            <w:r>
              <w:rPr>
                <w:rFonts w:hint="eastAsia" w:ascii="Times New Roman" w:eastAsia="宋体" w:cs="Times New Roman"/>
                <w:spacing w:val="11"/>
              </w:rPr>
              <w:t>模组动力输入轴安装紧固件脱落，卡死关节</w:t>
            </w:r>
          </w:p>
        </w:tc>
        <w:tc>
          <w:tcPr>
            <w:tcW w:w="586" w:type="pct"/>
            <w:tcBorders>
              <w:top w:val="single" w:color="000000" w:sz="4" w:space="0"/>
              <w:left w:val="single" w:color="000000" w:sz="4" w:space="0"/>
              <w:bottom w:val="single" w:color="000000" w:sz="4" w:space="0"/>
              <w:right w:val="single" w:color="000000" w:sz="4" w:space="0"/>
            </w:tcBorders>
            <w:vAlign w:val="center"/>
          </w:tcPr>
          <w:p w14:paraId="6D4361E0">
            <w:pPr>
              <w:pStyle w:val="178"/>
              <w:rPr>
                <w:rFonts w:ascii="Times New Roman" w:eastAsia="宋体" w:cs="Times New Roman"/>
                <w:spacing w:val="11"/>
              </w:rPr>
            </w:pPr>
            <w:r>
              <w:rPr>
                <w:rFonts w:ascii="Times New Roman" w:eastAsia="宋体" w:cs="Times New Roman"/>
                <w:spacing w:val="11"/>
              </w:rPr>
              <w:t>机械臂无法调整</w:t>
            </w:r>
          </w:p>
        </w:tc>
        <w:tc>
          <w:tcPr>
            <w:tcW w:w="586" w:type="pct"/>
            <w:tcBorders>
              <w:top w:val="single" w:color="000000" w:sz="4" w:space="0"/>
              <w:left w:val="single" w:color="000000" w:sz="4" w:space="0"/>
              <w:bottom w:val="single" w:color="000000" w:sz="4" w:space="0"/>
              <w:right w:val="single" w:color="000000" w:sz="4" w:space="0"/>
            </w:tcBorders>
            <w:vAlign w:val="center"/>
          </w:tcPr>
          <w:p w14:paraId="2B20F69F">
            <w:pPr>
              <w:pStyle w:val="178"/>
              <w:rPr>
                <w:rFonts w:ascii="Times New Roman" w:eastAsia="宋体" w:cs="Times New Roman"/>
                <w:spacing w:val="11"/>
              </w:rPr>
            </w:pPr>
            <w:r>
              <w:rPr>
                <w:rFonts w:ascii="Times New Roman" w:eastAsia="宋体" w:cs="Times New Roman"/>
                <w:spacing w:val="11"/>
              </w:rPr>
              <w:t>显著延长手术时间</w:t>
            </w:r>
          </w:p>
        </w:tc>
        <w:tc>
          <w:tcPr>
            <w:tcW w:w="390" w:type="pct"/>
            <w:tcBorders>
              <w:top w:val="single" w:color="000000" w:sz="4" w:space="0"/>
              <w:left w:val="single" w:color="000000" w:sz="4" w:space="0"/>
              <w:bottom w:val="single" w:color="000000" w:sz="4" w:space="0"/>
              <w:right w:val="single" w:color="000000" w:sz="4" w:space="0"/>
            </w:tcBorders>
            <w:vAlign w:val="center"/>
          </w:tcPr>
          <w:p w14:paraId="793EA845">
            <w:pPr>
              <w:pStyle w:val="178"/>
              <w:rPr>
                <w:rFonts w:ascii="Times New Roman" w:eastAsia="宋体" w:cs="Times New Roman"/>
                <w:spacing w:val="11"/>
              </w:rPr>
            </w:pPr>
            <w:r>
              <w:rPr>
                <w:rFonts w:ascii="Times New Roman" w:eastAsia="宋体" w:cs="Times New Roman"/>
                <w:spacing w:val="11"/>
              </w:rPr>
              <w:t>4</w:t>
            </w:r>
          </w:p>
        </w:tc>
        <w:tc>
          <w:tcPr>
            <w:tcW w:w="439" w:type="pct"/>
            <w:tcBorders>
              <w:top w:val="single" w:color="000000" w:sz="4" w:space="0"/>
              <w:left w:val="single" w:color="000000" w:sz="4" w:space="0"/>
              <w:bottom w:val="single" w:color="000000" w:sz="4" w:space="0"/>
              <w:right w:val="single" w:color="000000" w:sz="4" w:space="0"/>
            </w:tcBorders>
            <w:vAlign w:val="center"/>
          </w:tcPr>
          <w:p w14:paraId="41BD8D4C">
            <w:pPr>
              <w:pStyle w:val="178"/>
              <w:rPr>
                <w:rFonts w:ascii="Times New Roman" w:eastAsia="宋体" w:cs="Times New Roman"/>
                <w:spacing w:val="11"/>
              </w:rPr>
            </w:pPr>
            <w:r>
              <w:rPr>
                <w:rFonts w:ascii="Times New Roman" w:eastAsia="宋体" w:cs="Times New Roman"/>
                <w:spacing w:val="11"/>
              </w:rPr>
              <w:t>3</w:t>
            </w:r>
          </w:p>
        </w:tc>
        <w:tc>
          <w:tcPr>
            <w:tcW w:w="440" w:type="pct"/>
            <w:tcBorders>
              <w:top w:val="single" w:color="000000" w:sz="4" w:space="0"/>
              <w:left w:val="single" w:color="000000" w:sz="4" w:space="0"/>
              <w:bottom w:val="single" w:color="000000" w:sz="4" w:space="0"/>
              <w:right w:val="single" w:color="000000" w:sz="4" w:space="0"/>
            </w:tcBorders>
            <w:vAlign w:val="center"/>
          </w:tcPr>
          <w:p w14:paraId="7A005FDC">
            <w:pPr>
              <w:pStyle w:val="178"/>
              <w:rPr>
                <w:rFonts w:ascii="Times New Roman" w:eastAsia="宋体" w:cs="Times New Roman"/>
                <w:spacing w:val="11"/>
              </w:rPr>
            </w:pPr>
            <w:r>
              <w:rPr>
                <w:rFonts w:ascii="Times New Roman" w:eastAsia="宋体" w:cs="Times New Roman"/>
                <w:spacing w:val="11"/>
              </w:rPr>
              <w:t>3</w:t>
            </w:r>
          </w:p>
        </w:tc>
        <w:tc>
          <w:tcPr>
            <w:tcW w:w="306" w:type="pct"/>
            <w:tcBorders>
              <w:top w:val="single" w:color="000000" w:sz="4" w:space="0"/>
              <w:left w:val="single" w:color="000000" w:sz="4" w:space="0"/>
              <w:bottom w:val="single" w:color="000000" w:sz="4" w:space="0"/>
              <w:right w:val="single" w:color="000000" w:sz="4" w:space="0"/>
            </w:tcBorders>
            <w:vAlign w:val="center"/>
          </w:tcPr>
          <w:p w14:paraId="2741F6C2">
            <w:pPr>
              <w:pStyle w:val="178"/>
              <w:rPr>
                <w:rFonts w:ascii="Times New Roman" w:eastAsia="宋体" w:cs="Times New Roman"/>
                <w:spacing w:val="11"/>
              </w:rPr>
            </w:pPr>
            <w:r>
              <w:rPr>
                <w:rFonts w:ascii="Times New Roman" w:eastAsia="宋体" w:cs="Times New Roman"/>
                <w:spacing w:val="11"/>
              </w:rPr>
              <w:t>36</w:t>
            </w:r>
          </w:p>
        </w:tc>
      </w:tr>
      <w:tr w14:paraId="29277B2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05" w:hRule="atLeast"/>
        </w:trPr>
        <w:tc>
          <w:tcPr>
            <w:tcW w:w="785" w:type="pct"/>
            <w:tcBorders>
              <w:top w:val="single" w:color="000000" w:sz="4" w:space="0"/>
              <w:left w:val="single" w:color="000000" w:sz="4" w:space="0"/>
              <w:bottom w:val="single" w:color="000000" w:sz="4" w:space="0"/>
              <w:right w:val="single" w:color="000000" w:sz="4" w:space="0"/>
            </w:tcBorders>
            <w:vAlign w:val="center"/>
          </w:tcPr>
          <w:p w14:paraId="5F8EDFC2">
            <w:pPr>
              <w:pStyle w:val="178"/>
              <w:rPr>
                <w:rFonts w:ascii="Times New Roman" w:eastAsia="宋体" w:cs="Times New Roman"/>
                <w:spacing w:val="11"/>
              </w:rPr>
            </w:pPr>
            <w:r>
              <w:rPr>
                <w:rFonts w:ascii="Times New Roman" w:eastAsia="宋体" w:cs="Times New Roman"/>
                <w:spacing w:val="11"/>
              </w:rPr>
              <w:t>多次操作后，锁紧后晃动</w:t>
            </w:r>
          </w:p>
        </w:tc>
        <w:tc>
          <w:tcPr>
            <w:tcW w:w="1465" w:type="pct"/>
            <w:tcBorders>
              <w:top w:val="single" w:color="000000" w:sz="4" w:space="0"/>
              <w:left w:val="single" w:color="000000" w:sz="4" w:space="0"/>
              <w:bottom w:val="single" w:color="000000" w:sz="4" w:space="0"/>
              <w:right w:val="single" w:color="000000" w:sz="4" w:space="0"/>
            </w:tcBorders>
            <w:vAlign w:val="center"/>
          </w:tcPr>
          <w:p w14:paraId="55F2DAD3">
            <w:pPr>
              <w:pStyle w:val="178"/>
              <w:rPr>
                <w:rFonts w:ascii="Times New Roman" w:eastAsia="宋体" w:cs="Times New Roman"/>
                <w:spacing w:val="11"/>
              </w:rPr>
            </w:pPr>
            <w:r>
              <w:rPr>
                <w:rFonts w:hint="eastAsia" w:ascii="Times New Roman" w:eastAsia="宋体" w:cs="Times New Roman"/>
                <w:spacing w:val="11"/>
              </w:rPr>
              <w:t>转动抱闸齿轮与关节输出齿轮磨损</w:t>
            </w:r>
          </w:p>
        </w:tc>
        <w:tc>
          <w:tcPr>
            <w:tcW w:w="586" w:type="pct"/>
            <w:tcBorders>
              <w:top w:val="single" w:color="000000" w:sz="4" w:space="0"/>
              <w:left w:val="single" w:color="000000" w:sz="4" w:space="0"/>
              <w:bottom w:val="single" w:color="000000" w:sz="4" w:space="0"/>
              <w:right w:val="single" w:color="000000" w:sz="4" w:space="0"/>
            </w:tcBorders>
            <w:vAlign w:val="center"/>
          </w:tcPr>
          <w:p w14:paraId="26B43D23">
            <w:pPr>
              <w:pStyle w:val="178"/>
              <w:rPr>
                <w:rFonts w:ascii="Times New Roman" w:eastAsia="宋体" w:cs="Times New Roman"/>
                <w:spacing w:val="11"/>
              </w:rPr>
            </w:pPr>
            <w:r>
              <w:rPr>
                <w:rFonts w:ascii="Times New Roman" w:eastAsia="宋体" w:cs="Times New Roman"/>
                <w:spacing w:val="11"/>
              </w:rPr>
              <w:t>机械臂无法锁紧</w:t>
            </w:r>
          </w:p>
        </w:tc>
        <w:tc>
          <w:tcPr>
            <w:tcW w:w="586" w:type="pct"/>
            <w:tcBorders>
              <w:top w:val="single" w:color="000000" w:sz="4" w:space="0"/>
              <w:left w:val="single" w:color="000000" w:sz="4" w:space="0"/>
              <w:bottom w:val="single" w:color="000000" w:sz="4" w:space="0"/>
              <w:right w:val="single" w:color="000000" w:sz="4" w:space="0"/>
            </w:tcBorders>
            <w:vAlign w:val="center"/>
          </w:tcPr>
          <w:p w14:paraId="3362B87D">
            <w:pPr>
              <w:pStyle w:val="178"/>
              <w:rPr>
                <w:rFonts w:ascii="Times New Roman" w:eastAsia="宋体" w:cs="Times New Roman"/>
                <w:spacing w:val="11"/>
              </w:rPr>
            </w:pPr>
            <w:r>
              <w:rPr>
                <w:rFonts w:ascii="Times New Roman" w:eastAsia="宋体" w:cs="Times New Roman"/>
                <w:spacing w:val="11"/>
              </w:rPr>
              <w:t>显著延长手术时间</w:t>
            </w:r>
          </w:p>
        </w:tc>
        <w:tc>
          <w:tcPr>
            <w:tcW w:w="390" w:type="pct"/>
            <w:tcBorders>
              <w:top w:val="single" w:color="000000" w:sz="4" w:space="0"/>
              <w:left w:val="single" w:color="000000" w:sz="4" w:space="0"/>
              <w:bottom w:val="single" w:color="000000" w:sz="4" w:space="0"/>
              <w:right w:val="single" w:color="000000" w:sz="4" w:space="0"/>
            </w:tcBorders>
            <w:vAlign w:val="center"/>
          </w:tcPr>
          <w:p w14:paraId="3B0487BD">
            <w:pPr>
              <w:pStyle w:val="178"/>
              <w:rPr>
                <w:rFonts w:ascii="Times New Roman" w:eastAsia="宋体" w:cs="Times New Roman"/>
                <w:spacing w:val="11"/>
              </w:rPr>
            </w:pPr>
            <w:r>
              <w:rPr>
                <w:rFonts w:ascii="Times New Roman" w:eastAsia="宋体" w:cs="Times New Roman"/>
                <w:spacing w:val="11"/>
              </w:rPr>
              <w:t>4</w:t>
            </w:r>
          </w:p>
        </w:tc>
        <w:tc>
          <w:tcPr>
            <w:tcW w:w="439" w:type="pct"/>
            <w:tcBorders>
              <w:top w:val="single" w:color="000000" w:sz="4" w:space="0"/>
              <w:left w:val="single" w:color="000000" w:sz="4" w:space="0"/>
              <w:bottom w:val="single" w:color="000000" w:sz="4" w:space="0"/>
              <w:right w:val="single" w:color="000000" w:sz="4" w:space="0"/>
            </w:tcBorders>
            <w:vAlign w:val="center"/>
          </w:tcPr>
          <w:p w14:paraId="4088CD29">
            <w:pPr>
              <w:pStyle w:val="178"/>
              <w:rPr>
                <w:rFonts w:ascii="Times New Roman" w:eastAsia="宋体" w:cs="Times New Roman"/>
                <w:spacing w:val="11"/>
              </w:rPr>
            </w:pPr>
            <w:r>
              <w:rPr>
                <w:rFonts w:ascii="Times New Roman" w:eastAsia="宋体" w:cs="Times New Roman"/>
                <w:spacing w:val="11"/>
              </w:rPr>
              <w:t>5</w:t>
            </w:r>
          </w:p>
        </w:tc>
        <w:tc>
          <w:tcPr>
            <w:tcW w:w="440" w:type="pct"/>
            <w:tcBorders>
              <w:top w:val="single" w:color="000000" w:sz="4" w:space="0"/>
              <w:left w:val="single" w:color="000000" w:sz="4" w:space="0"/>
              <w:bottom w:val="single" w:color="000000" w:sz="4" w:space="0"/>
              <w:right w:val="single" w:color="000000" w:sz="4" w:space="0"/>
            </w:tcBorders>
            <w:vAlign w:val="center"/>
          </w:tcPr>
          <w:p w14:paraId="7F2E6CB4">
            <w:pPr>
              <w:pStyle w:val="178"/>
              <w:rPr>
                <w:rFonts w:ascii="Times New Roman" w:eastAsia="宋体" w:cs="Times New Roman"/>
                <w:spacing w:val="11"/>
              </w:rPr>
            </w:pPr>
            <w:r>
              <w:rPr>
                <w:rFonts w:ascii="Times New Roman" w:eastAsia="宋体" w:cs="Times New Roman"/>
                <w:spacing w:val="11"/>
              </w:rPr>
              <w:t>3</w:t>
            </w:r>
          </w:p>
        </w:tc>
        <w:tc>
          <w:tcPr>
            <w:tcW w:w="306" w:type="pct"/>
            <w:tcBorders>
              <w:top w:val="single" w:color="000000" w:sz="4" w:space="0"/>
              <w:left w:val="single" w:color="000000" w:sz="4" w:space="0"/>
              <w:bottom w:val="single" w:color="000000" w:sz="4" w:space="0"/>
              <w:right w:val="single" w:color="000000" w:sz="4" w:space="0"/>
            </w:tcBorders>
            <w:vAlign w:val="center"/>
          </w:tcPr>
          <w:p w14:paraId="3534B013">
            <w:pPr>
              <w:pStyle w:val="178"/>
              <w:rPr>
                <w:rFonts w:ascii="Times New Roman" w:eastAsia="宋体" w:cs="Times New Roman"/>
                <w:spacing w:val="11"/>
              </w:rPr>
            </w:pPr>
            <w:r>
              <w:rPr>
                <w:rFonts w:ascii="Times New Roman" w:eastAsia="宋体" w:cs="Times New Roman"/>
                <w:spacing w:val="11"/>
              </w:rPr>
              <w:t>60</w:t>
            </w:r>
          </w:p>
        </w:tc>
      </w:tr>
    </w:tbl>
    <w:p w14:paraId="0BA903D5">
      <w:pPr>
        <w:pStyle w:val="56"/>
        <w:ind w:firstLine="420"/>
      </w:pPr>
    </w:p>
    <w:p w14:paraId="45A55043">
      <w:pPr>
        <w:pStyle w:val="56"/>
        <w:ind w:firstLine="420"/>
      </w:pPr>
      <w:r>
        <w:rPr>
          <w:rFonts w:hint="eastAsia"/>
        </w:rPr>
        <w:t>医疗机器人的</w:t>
      </w:r>
      <w:r>
        <w:rPr>
          <w:rFonts w:hint="eastAsia"/>
          <w:lang w:eastAsia="zh-CN"/>
        </w:rPr>
        <w:t>危害性</w:t>
      </w:r>
      <w:r>
        <w:rPr>
          <w:rFonts w:hint="eastAsia"/>
        </w:rPr>
        <w:t xml:space="preserve">接受准则为：当 S/O 矩阵中标记为“×”或者 </w:t>
      </w:r>
      <w:r>
        <w:rPr>
          <w:rFonts w:hint="eastAsia"/>
          <w:highlight w:val="none"/>
        </w:rPr>
        <w:t>RPN 值 ≥120 时</w:t>
      </w:r>
      <w:r>
        <w:rPr>
          <w:rFonts w:hint="eastAsia"/>
        </w:rPr>
        <w:t>，风险不可接受；否则，风险可接受。 S/O 矩阵可见表 A.8。</w:t>
      </w:r>
    </w:p>
    <w:p w14:paraId="4165BAA1">
      <w:pPr>
        <w:pStyle w:val="56"/>
        <w:ind w:firstLine="420"/>
      </w:pPr>
      <w:r>
        <w:rPr>
          <w:rFonts w:hint="eastAsia"/>
        </w:rPr>
        <w:t>根据 RPN</w:t>
      </w:r>
      <w:r>
        <w:t xml:space="preserve"> </w:t>
      </w:r>
      <w:r>
        <w:rPr>
          <w:rFonts w:hint="eastAsia"/>
        </w:rPr>
        <w:t>值及 S/O 矩阵可知，3 项失效模式中，有 2 项可接受，1 项不可接受。本着尽量降低</w:t>
      </w:r>
      <w:r>
        <w:rPr>
          <w:rFonts w:hint="eastAsia"/>
          <w:lang w:eastAsia="zh-CN"/>
        </w:rPr>
        <w:t>危害性</w:t>
      </w:r>
      <w:r>
        <w:rPr>
          <w:rFonts w:hint="eastAsia"/>
        </w:rPr>
        <w:t>的原则，针对此 3 项潜在失效，实际工作中均采取了增加检测及补偿措施。</w:t>
      </w:r>
    </w:p>
    <w:p w14:paraId="47631D39">
      <w:pPr>
        <w:pStyle w:val="77"/>
        <w:spacing w:before="120" w:after="120"/>
      </w:pPr>
      <w:r>
        <w:rPr>
          <w:rFonts w:hint="eastAsia"/>
        </w:rPr>
        <w:t>S／O矩阵</w:t>
      </w:r>
    </w:p>
    <w:tbl>
      <w:tblPr>
        <w:tblStyle w:val="231"/>
        <w:tblW w:w="9222"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721"/>
        <w:gridCol w:w="721"/>
        <w:gridCol w:w="721"/>
        <w:gridCol w:w="720"/>
        <w:gridCol w:w="721"/>
        <w:gridCol w:w="721"/>
        <w:gridCol w:w="720"/>
        <w:gridCol w:w="721"/>
        <w:gridCol w:w="721"/>
        <w:gridCol w:w="746"/>
      </w:tblGrid>
      <w:tr w14:paraId="723E5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989" w:type="dxa"/>
            <w:tcBorders>
              <w:top w:val="single" w:color="000000" w:sz="6" w:space="0"/>
              <w:left w:val="single" w:color="000000" w:sz="6" w:space="0"/>
              <w:bottom w:val="single" w:color="000000" w:sz="6" w:space="0"/>
              <w:tl2br w:val="single" w:color="000000" w:sz="2" w:space="0"/>
            </w:tcBorders>
            <w:vAlign w:val="center"/>
          </w:tcPr>
          <w:p w14:paraId="6FCAB165">
            <w:pPr>
              <w:pStyle w:val="178"/>
              <w:rPr>
                <w:rFonts w:ascii="Times New Roman" w:eastAsia="宋体" w:cs="Times New Roman"/>
                <w:spacing w:val="11"/>
              </w:rPr>
            </w:pPr>
            <w:r>
              <w:rPr>
                <w:rFonts w:hint="eastAsia" w:ascii="Times New Roman" w:eastAsia="宋体" w:cs="Times New Roman"/>
                <w:spacing w:val="11"/>
              </w:rPr>
              <w:t xml:space="preserve"> </w:t>
            </w:r>
            <w:r>
              <w:rPr>
                <w:rFonts w:ascii="Times New Roman" w:eastAsia="宋体" w:cs="Times New Roman"/>
                <w:spacing w:val="11"/>
              </w:rPr>
              <w:t xml:space="preserve">      发生概率(O)</w:t>
            </w:r>
          </w:p>
          <w:p w14:paraId="4C87319E">
            <w:pPr>
              <w:pStyle w:val="178"/>
              <w:jc w:val="both"/>
              <w:rPr>
                <w:rFonts w:ascii="Times New Roman" w:eastAsia="宋体" w:cs="Times New Roman"/>
                <w:spacing w:val="11"/>
              </w:rPr>
            </w:pPr>
            <w:r>
              <w:rPr>
                <w:rFonts w:hint="eastAsia" w:ascii="Times New Roman" w:cs="Times New Roman"/>
                <w:spacing w:val="11"/>
                <w:lang w:eastAsia="zh-CN"/>
              </w:rPr>
              <w:t>严重度</w:t>
            </w:r>
            <w:r>
              <w:rPr>
                <w:rFonts w:ascii="Times New Roman" w:eastAsia="宋体" w:cs="Times New Roman"/>
                <w:spacing w:val="11"/>
              </w:rPr>
              <w:t>(S)</w:t>
            </w:r>
          </w:p>
        </w:tc>
        <w:tc>
          <w:tcPr>
            <w:tcW w:w="721" w:type="dxa"/>
            <w:tcBorders>
              <w:top w:val="single" w:color="000000" w:sz="6" w:space="0"/>
              <w:bottom w:val="single" w:color="000000" w:sz="6" w:space="0"/>
            </w:tcBorders>
            <w:vAlign w:val="center"/>
          </w:tcPr>
          <w:p w14:paraId="5FCE84A9">
            <w:pPr>
              <w:pStyle w:val="178"/>
              <w:rPr>
                <w:rFonts w:ascii="Times New Roman" w:eastAsia="宋体" w:cs="Times New Roman"/>
                <w:spacing w:val="11"/>
              </w:rPr>
            </w:pPr>
            <w:r>
              <w:rPr>
                <w:rFonts w:ascii="Times New Roman" w:eastAsia="宋体" w:cs="Times New Roman"/>
                <w:spacing w:val="11"/>
              </w:rPr>
              <w:t>1</w:t>
            </w:r>
          </w:p>
        </w:tc>
        <w:tc>
          <w:tcPr>
            <w:tcW w:w="721" w:type="dxa"/>
            <w:tcBorders>
              <w:top w:val="single" w:color="000000" w:sz="6" w:space="0"/>
              <w:bottom w:val="single" w:color="000000" w:sz="6" w:space="0"/>
            </w:tcBorders>
            <w:vAlign w:val="center"/>
          </w:tcPr>
          <w:p w14:paraId="116D591A">
            <w:pPr>
              <w:pStyle w:val="178"/>
              <w:rPr>
                <w:rFonts w:ascii="Times New Roman" w:eastAsia="宋体" w:cs="Times New Roman"/>
                <w:spacing w:val="11"/>
              </w:rPr>
            </w:pPr>
            <w:r>
              <w:rPr>
                <w:rFonts w:ascii="Times New Roman" w:eastAsia="宋体" w:cs="Times New Roman"/>
                <w:spacing w:val="11"/>
              </w:rPr>
              <w:t>2</w:t>
            </w:r>
          </w:p>
        </w:tc>
        <w:tc>
          <w:tcPr>
            <w:tcW w:w="721" w:type="dxa"/>
            <w:tcBorders>
              <w:top w:val="single" w:color="000000" w:sz="6" w:space="0"/>
              <w:bottom w:val="single" w:color="000000" w:sz="6" w:space="0"/>
            </w:tcBorders>
            <w:vAlign w:val="center"/>
          </w:tcPr>
          <w:p w14:paraId="0B1391BF">
            <w:pPr>
              <w:pStyle w:val="178"/>
              <w:rPr>
                <w:rFonts w:ascii="Times New Roman" w:eastAsia="宋体" w:cs="Times New Roman"/>
                <w:spacing w:val="11"/>
              </w:rPr>
            </w:pPr>
            <w:r>
              <w:rPr>
                <w:rFonts w:ascii="Times New Roman" w:eastAsia="宋体" w:cs="Times New Roman"/>
                <w:spacing w:val="11"/>
              </w:rPr>
              <w:t>3</w:t>
            </w:r>
          </w:p>
        </w:tc>
        <w:tc>
          <w:tcPr>
            <w:tcW w:w="720" w:type="dxa"/>
            <w:tcBorders>
              <w:top w:val="single" w:color="000000" w:sz="6" w:space="0"/>
              <w:bottom w:val="single" w:color="000000" w:sz="6" w:space="0"/>
            </w:tcBorders>
            <w:vAlign w:val="center"/>
          </w:tcPr>
          <w:p w14:paraId="164AF879">
            <w:pPr>
              <w:pStyle w:val="178"/>
              <w:rPr>
                <w:rFonts w:ascii="Times New Roman" w:eastAsia="宋体" w:cs="Times New Roman"/>
                <w:spacing w:val="11"/>
              </w:rPr>
            </w:pPr>
            <w:r>
              <w:rPr>
                <w:rFonts w:ascii="Times New Roman" w:eastAsia="宋体" w:cs="Times New Roman"/>
                <w:spacing w:val="11"/>
              </w:rPr>
              <w:t>4</w:t>
            </w:r>
          </w:p>
        </w:tc>
        <w:tc>
          <w:tcPr>
            <w:tcW w:w="721" w:type="dxa"/>
            <w:tcBorders>
              <w:top w:val="single" w:color="000000" w:sz="6" w:space="0"/>
              <w:bottom w:val="single" w:color="000000" w:sz="6" w:space="0"/>
            </w:tcBorders>
            <w:vAlign w:val="center"/>
          </w:tcPr>
          <w:p w14:paraId="2E19B0D2">
            <w:pPr>
              <w:pStyle w:val="178"/>
              <w:rPr>
                <w:rFonts w:ascii="Times New Roman" w:eastAsia="宋体" w:cs="Times New Roman"/>
                <w:spacing w:val="11"/>
              </w:rPr>
            </w:pPr>
            <w:r>
              <w:rPr>
                <w:rFonts w:ascii="Times New Roman" w:eastAsia="宋体" w:cs="Times New Roman"/>
                <w:spacing w:val="11"/>
              </w:rPr>
              <w:t>5</w:t>
            </w:r>
          </w:p>
        </w:tc>
        <w:tc>
          <w:tcPr>
            <w:tcW w:w="721" w:type="dxa"/>
            <w:tcBorders>
              <w:top w:val="single" w:color="000000" w:sz="6" w:space="0"/>
              <w:bottom w:val="single" w:color="000000" w:sz="6" w:space="0"/>
            </w:tcBorders>
            <w:vAlign w:val="center"/>
          </w:tcPr>
          <w:p w14:paraId="47F4693B">
            <w:pPr>
              <w:pStyle w:val="178"/>
              <w:rPr>
                <w:rFonts w:ascii="Times New Roman" w:eastAsia="宋体" w:cs="Times New Roman"/>
                <w:spacing w:val="11"/>
              </w:rPr>
            </w:pPr>
            <w:r>
              <w:rPr>
                <w:rFonts w:ascii="Times New Roman" w:eastAsia="宋体" w:cs="Times New Roman"/>
                <w:spacing w:val="11"/>
              </w:rPr>
              <w:t>6</w:t>
            </w:r>
          </w:p>
        </w:tc>
        <w:tc>
          <w:tcPr>
            <w:tcW w:w="720" w:type="dxa"/>
            <w:tcBorders>
              <w:top w:val="single" w:color="000000" w:sz="6" w:space="0"/>
              <w:bottom w:val="single" w:color="000000" w:sz="6" w:space="0"/>
            </w:tcBorders>
            <w:vAlign w:val="center"/>
          </w:tcPr>
          <w:p w14:paraId="005567BD">
            <w:pPr>
              <w:pStyle w:val="178"/>
              <w:rPr>
                <w:rFonts w:ascii="Times New Roman" w:eastAsia="宋体" w:cs="Times New Roman"/>
                <w:spacing w:val="11"/>
              </w:rPr>
            </w:pPr>
            <w:r>
              <w:rPr>
                <w:rFonts w:ascii="Times New Roman" w:eastAsia="宋体" w:cs="Times New Roman"/>
                <w:spacing w:val="11"/>
              </w:rPr>
              <w:t>7</w:t>
            </w:r>
          </w:p>
        </w:tc>
        <w:tc>
          <w:tcPr>
            <w:tcW w:w="721" w:type="dxa"/>
            <w:tcBorders>
              <w:top w:val="single" w:color="000000" w:sz="6" w:space="0"/>
              <w:bottom w:val="single" w:color="000000" w:sz="6" w:space="0"/>
            </w:tcBorders>
            <w:vAlign w:val="center"/>
          </w:tcPr>
          <w:p w14:paraId="766865C8">
            <w:pPr>
              <w:pStyle w:val="178"/>
              <w:rPr>
                <w:rFonts w:ascii="Times New Roman" w:eastAsia="宋体" w:cs="Times New Roman"/>
                <w:spacing w:val="11"/>
              </w:rPr>
            </w:pPr>
            <w:r>
              <w:rPr>
                <w:rFonts w:ascii="Times New Roman" w:eastAsia="宋体" w:cs="Times New Roman"/>
                <w:spacing w:val="11"/>
              </w:rPr>
              <w:t>8</w:t>
            </w:r>
          </w:p>
        </w:tc>
        <w:tc>
          <w:tcPr>
            <w:tcW w:w="721" w:type="dxa"/>
            <w:tcBorders>
              <w:top w:val="single" w:color="000000" w:sz="6" w:space="0"/>
              <w:bottom w:val="single" w:color="000000" w:sz="6" w:space="0"/>
            </w:tcBorders>
            <w:vAlign w:val="center"/>
          </w:tcPr>
          <w:p w14:paraId="2090608D">
            <w:pPr>
              <w:pStyle w:val="178"/>
              <w:rPr>
                <w:rFonts w:ascii="Times New Roman" w:eastAsia="宋体" w:cs="Times New Roman"/>
                <w:spacing w:val="11"/>
              </w:rPr>
            </w:pPr>
            <w:r>
              <w:rPr>
                <w:rFonts w:ascii="Times New Roman" w:eastAsia="宋体" w:cs="Times New Roman"/>
                <w:spacing w:val="11"/>
              </w:rPr>
              <w:t>9</w:t>
            </w:r>
          </w:p>
        </w:tc>
        <w:tc>
          <w:tcPr>
            <w:tcW w:w="746" w:type="dxa"/>
            <w:tcBorders>
              <w:top w:val="single" w:color="000000" w:sz="6" w:space="0"/>
              <w:bottom w:val="single" w:color="000000" w:sz="6" w:space="0"/>
              <w:right w:val="single" w:color="000000" w:sz="6" w:space="0"/>
            </w:tcBorders>
            <w:vAlign w:val="center"/>
          </w:tcPr>
          <w:p w14:paraId="4DB490AA">
            <w:pPr>
              <w:pStyle w:val="178"/>
              <w:rPr>
                <w:rFonts w:ascii="Times New Roman" w:eastAsia="宋体" w:cs="Times New Roman"/>
                <w:spacing w:val="11"/>
              </w:rPr>
            </w:pPr>
            <w:r>
              <w:rPr>
                <w:rFonts w:ascii="Times New Roman" w:eastAsia="宋体" w:cs="Times New Roman"/>
                <w:spacing w:val="11"/>
              </w:rPr>
              <w:t>10</w:t>
            </w:r>
          </w:p>
        </w:tc>
      </w:tr>
      <w:tr w14:paraId="2D29A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989" w:type="dxa"/>
            <w:tcBorders>
              <w:top w:val="single" w:color="000000" w:sz="6" w:space="0"/>
              <w:left w:val="single" w:color="000000" w:sz="6" w:space="0"/>
            </w:tcBorders>
            <w:vAlign w:val="center"/>
          </w:tcPr>
          <w:p w14:paraId="4DD19ED9">
            <w:pPr>
              <w:pStyle w:val="178"/>
              <w:rPr>
                <w:rFonts w:ascii="Times New Roman" w:eastAsia="宋体" w:cs="Times New Roman"/>
                <w:spacing w:val="11"/>
              </w:rPr>
            </w:pPr>
            <w:r>
              <w:rPr>
                <w:rFonts w:ascii="Times New Roman" w:eastAsia="宋体" w:cs="Times New Roman"/>
                <w:spacing w:val="11"/>
              </w:rPr>
              <w:t>1</w:t>
            </w:r>
          </w:p>
        </w:tc>
        <w:tc>
          <w:tcPr>
            <w:tcW w:w="721" w:type="dxa"/>
            <w:tcBorders>
              <w:top w:val="single" w:color="000000" w:sz="6" w:space="0"/>
            </w:tcBorders>
            <w:vAlign w:val="center"/>
          </w:tcPr>
          <w:p w14:paraId="40D00BE3">
            <w:pPr>
              <w:pStyle w:val="178"/>
              <w:rPr>
                <w:rFonts w:ascii="Times New Roman" w:eastAsia="宋体" w:cs="Times New Roman"/>
                <w:spacing w:val="11"/>
              </w:rPr>
            </w:pPr>
            <w:r>
              <w:rPr>
                <w:rFonts w:hint="eastAsia" w:ascii="Times New Roman" w:eastAsia="宋体" w:cs="Times New Roman"/>
                <w:spacing w:val="11"/>
              </w:rPr>
              <w:t>▽</w:t>
            </w:r>
          </w:p>
        </w:tc>
        <w:tc>
          <w:tcPr>
            <w:tcW w:w="721" w:type="dxa"/>
            <w:tcBorders>
              <w:top w:val="single" w:color="000000" w:sz="6" w:space="0"/>
            </w:tcBorders>
            <w:vAlign w:val="center"/>
          </w:tcPr>
          <w:p w14:paraId="475180F8">
            <w:pPr>
              <w:pStyle w:val="178"/>
              <w:rPr>
                <w:rFonts w:ascii="Times New Roman" w:eastAsia="宋体" w:cs="Times New Roman"/>
                <w:spacing w:val="11"/>
              </w:rPr>
            </w:pPr>
            <w:r>
              <w:rPr>
                <w:rFonts w:hint="eastAsia" w:ascii="Times New Roman" w:eastAsia="宋体" w:cs="Times New Roman"/>
                <w:spacing w:val="11"/>
              </w:rPr>
              <w:t>▽</w:t>
            </w:r>
          </w:p>
        </w:tc>
        <w:tc>
          <w:tcPr>
            <w:tcW w:w="721" w:type="dxa"/>
            <w:tcBorders>
              <w:top w:val="single" w:color="000000" w:sz="6" w:space="0"/>
            </w:tcBorders>
            <w:vAlign w:val="center"/>
          </w:tcPr>
          <w:p w14:paraId="6508134C">
            <w:pPr>
              <w:pStyle w:val="178"/>
              <w:rPr>
                <w:rFonts w:ascii="Times New Roman" w:eastAsia="宋体" w:cs="Times New Roman"/>
                <w:spacing w:val="11"/>
              </w:rPr>
            </w:pPr>
            <w:r>
              <w:rPr>
                <w:rFonts w:hint="eastAsia" w:ascii="Times New Roman" w:eastAsia="宋体" w:cs="Times New Roman"/>
                <w:spacing w:val="11"/>
              </w:rPr>
              <w:t>▽</w:t>
            </w:r>
          </w:p>
        </w:tc>
        <w:tc>
          <w:tcPr>
            <w:tcW w:w="720" w:type="dxa"/>
            <w:tcBorders>
              <w:top w:val="single" w:color="000000" w:sz="6" w:space="0"/>
            </w:tcBorders>
            <w:vAlign w:val="center"/>
          </w:tcPr>
          <w:p w14:paraId="5E3A1C9D">
            <w:pPr>
              <w:pStyle w:val="178"/>
              <w:rPr>
                <w:rFonts w:ascii="Times New Roman" w:eastAsia="宋体" w:cs="Times New Roman"/>
                <w:spacing w:val="11"/>
              </w:rPr>
            </w:pPr>
            <w:r>
              <w:rPr>
                <w:rFonts w:hint="eastAsia" w:ascii="Times New Roman" w:eastAsia="宋体" w:cs="Times New Roman"/>
                <w:spacing w:val="11"/>
              </w:rPr>
              <w:t>▽</w:t>
            </w:r>
          </w:p>
        </w:tc>
        <w:tc>
          <w:tcPr>
            <w:tcW w:w="721" w:type="dxa"/>
            <w:tcBorders>
              <w:top w:val="single" w:color="000000" w:sz="6" w:space="0"/>
            </w:tcBorders>
            <w:vAlign w:val="center"/>
          </w:tcPr>
          <w:p w14:paraId="62DBF7EF">
            <w:pPr>
              <w:pStyle w:val="178"/>
              <w:rPr>
                <w:rFonts w:ascii="Times New Roman" w:eastAsia="宋体" w:cs="Times New Roman"/>
                <w:spacing w:val="11"/>
              </w:rPr>
            </w:pPr>
            <w:r>
              <w:rPr>
                <w:rFonts w:hint="eastAsia" w:ascii="Times New Roman" w:eastAsia="宋体" w:cs="Times New Roman"/>
                <w:spacing w:val="11"/>
              </w:rPr>
              <w:t>▽</w:t>
            </w:r>
          </w:p>
        </w:tc>
        <w:tc>
          <w:tcPr>
            <w:tcW w:w="721" w:type="dxa"/>
            <w:tcBorders>
              <w:top w:val="single" w:color="000000" w:sz="6" w:space="0"/>
            </w:tcBorders>
            <w:vAlign w:val="center"/>
          </w:tcPr>
          <w:p w14:paraId="77AF1335">
            <w:pPr>
              <w:pStyle w:val="178"/>
              <w:rPr>
                <w:rFonts w:ascii="Times New Roman" w:eastAsia="宋体" w:cs="Times New Roman"/>
                <w:spacing w:val="11"/>
              </w:rPr>
            </w:pPr>
            <w:r>
              <w:rPr>
                <w:rFonts w:hint="eastAsia" w:ascii="Times New Roman" w:eastAsia="宋体" w:cs="Times New Roman"/>
                <w:spacing w:val="11"/>
              </w:rPr>
              <w:t>▽</w:t>
            </w:r>
          </w:p>
        </w:tc>
        <w:tc>
          <w:tcPr>
            <w:tcW w:w="720" w:type="dxa"/>
            <w:tcBorders>
              <w:top w:val="single" w:color="000000" w:sz="6" w:space="0"/>
            </w:tcBorders>
            <w:vAlign w:val="center"/>
          </w:tcPr>
          <w:p w14:paraId="2C1C4CB2">
            <w:pPr>
              <w:pStyle w:val="178"/>
              <w:rPr>
                <w:rFonts w:ascii="Times New Roman" w:eastAsia="宋体" w:cs="Times New Roman"/>
                <w:spacing w:val="11"/>
              </w:rPr>
            </w:pPr>
            <w:r>
              <w:rPr>
                <w:rFonts w:hint="eastAsia" w:ascii="Times New Roman" w:eastAsia="宋体" w:cs="Times New Roman"/>
                <w:spacing w:val="11"/>
              </w:rPr>
              <w:t>▽</w:t>
            </w:r>
          </w:p>
        </w:tc>
        <w:tc>
          <w:tcPr>
            <w:tcW w:w="721" w:type="dxa"/>
            <w:tcBorders>
              <w:top w:val="single" w:color="000000" w:sz="6" w:space="0"/>
            </w:tcBorders>
            <w:vAlign w:val="center"/>
          </w:tcPr>
          <w:p w14:paraId="262E20E5">
            <w:pPr>
              <w:pStyle w:val="178"/>
              <w:rPr>
                <w:rFonts w:ascii="Times New Roman" w:eastAsia="宋体" w:cs="Times New Roman"/>
                <w:spacing w:val="11"/>
              </w:rPr>
            </w:pPr>
            <w:r>
              <w:rPr>
                <w:rFonts w:hint="eastAsia" w:ascii="Times New Roman" w:eastAsia="宋体" w:cs="Times New Roman"/>
                <w:spacing w:val="11"/>
              </w:rPr>
              <w:t>▽</w:t>
            </w:r>
          </w:p>
        </w:tc>
        <w:tc>
          <w:tcPr>
            <w:tcW w:w="721" w:type="dxa"/>
            <w:tcBorders>
              <w:top w:val="single" w:color="000000" w:sz="6" w:space="0"/>
            </w:tcBorders>
            <w:vAlign w:val="center"/>
          </w:tcPr>
          <w:p w14:paraId="0594708A">
            <w:pPr>
              <w:pStyle w:val="178"/>
              <w:rPr>
                <w:rFonts w:ascii="Times New Roman" w:eastAsia="宋体" w:cs="Times New Roman"/>
                <w:spacing w:val="11"/>
              </w:rPr>
            </w:pPr>
            <w:r>
              <w:rPr>
                <w:rFonts w:hint="eastAsia" w:ascii="Times New Roman" w:eastAsia="宋体" w:cs="Times New Roman"/>
                <w:spacing w:val="11"/>
              </w:rPr>
              <w:t>▽</w:t>
            </w:r>
          </w:p>
        </w:tc>
        <w:tc>
          <w:tcPr>
            <w:tcW w:w="746" w:type="dxa"/>
            <w:tcBorders>
              <w:top w:val="single" w:color="000000" w:sz="6" w:space="0"/>
              <w:right w:val="single" w:color="000000" w:sz="6" w:space="0"/>
            </w:tcBorders>
            <w:vAlign w:val="center"/>
          </w:tcPr>
          <w:p w14:paraId="10B65389">
            <w:pPr>
              <w:pStyle w:val="178"/>
              <w:rPr>
                <w:rFonts w:ascii="Times New Roman" w:eastAsia="宋体" w:cs="Times New Roman"/>
                <w:spacing w:val="11"/>
              </w:rPr>
            </w:pPr>
            <w:r>
              <w:rPr>
                <w:rFonts w:ascii="Times New Roman" w:eastAsia="宋体" w:cs="Times New Roman"/>
                <w:spacing w:val="11"/>
              </w:rPr>
              <w:t>×</w:t>
            </w:r>
          </w:p>
        </w:tc>
      </w:tr>
      <w:tr w14:paraId="5C37C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989" w:type="dxa"/>
            <w:tcBorders>
              <w:left w:val="single" w:color="000000" w:sz="6" w:space="0"/>
            </w:tcBorders>
            <w:vAlign w:val="center"/>
          </w:tcPr>
          <w:p w14:paraId="11440EE6">
            <w:pPr>
              <w:pStyle w:val="178"/>
              <w:rPr>
                <w:rFonts w:ascii="Times New Roman" w:eastAsia="宋体" w:cs="Times New Roman"/>
                <w:spacing w:val="11"/>
              </w:rPr>
            </w:pPr>
            <w:r>
              <w:rPr>
                <w:rFonts w:ascii="Times New Roman" w:eastAsia="宋体" w:cs="Times New Roman"/>
                <w:spacing w:val="11"/>
              </w:rPr>
              <w:t>2</w:t>
            </w:r>
          </w:p>
        </w:tc>
        <w:tc>
          <w:tcPr>
            <w:tcW w:w="721" w:type="dxa"/>
            <w:vAlign w:val="center"/>
          </w:tcPr>
          <w:p w14:paraId="551415FE">
            <w:pPr>
              <w:pStyle w:val="178"/>
              <w:rPr>
                <w:rFonts w:ascii="Times New Roman" w:eastAsia="宋体" w:cs="Times New Roman"/>
                <w:spacing w:val="11"/>
              </w:rPr>
            </w:pPr>
            <w:r>
              <w:rPr>
                <w:rFonts w:hint="eastAsia" w:ascii="Times New Roman" w:eastAsia="宋体" w:cs="Times New Roman"/>
                <w:spacing w:val="11"/>
              </w:rPr>
              <w:t>▽</w:t>
            </w:r>
          </w:p>
        </w:tc>
        <w:tc>
          <w:tcPr>
            <w:tcW w:w="721" w:type="dxa"/>
            <w:vAlign w:val="center"/>
          </w:tcPr>
          <w:p w14:paraId="17D3F02E">
            <w:pPr>
              <w:pStyle w:val="178"/>
              <w:rPr>
                <w:rFonts w:ascii="Times New Roman" w:eastAsia="宋体" w:cs="Times New Roman"/>
                <w:spacing w:val="11"/>
              </w:rPr>
            </w:pPr>
            <w:r>
              <w:rPr>
                <w:rFonts w:hint="eastAsia" w:ascii="Times New Roman" w:eastAsia="宋体" w:cs="Times New Roman"/>
                <w:spacing w:val="11"/>
              </w:rPr>
              <w:t>▽</w:t>
            </w:r>
          </w:p>
        </w:tc>
        <w:tc>
          <w:tcPr>
            <w:tcW w:w="721" w:type="dxa"/>
            <w:vAlign w:val="center"/>
          </w:tcPr>
          <w:p w14:paraId="728DE8AB">
            <w:pPr>
              <w:pStyle w:val="178"/>
              <w:rPr>
                <w:rFonts w:ascii="Times New Roman" w:eastAsia="宋体" w:cs="Times New Roman"/>
                <w:spacing w:val="11"/>
              </w:rPr>
            </w:pPr>
            <w:r>
              <w:rPr>
                <w:rFonts w:hint="eastAsia" w:ascii="Times New Roman" w:eastAsia="宋体" w:cs="Times New Roman"/>
                <w:spacing w:val="11"/>
              </w:rPr>
              <w:t>▽</w:t>
            </w:r>
          </w:p>
        </w:tc>
        <w:tc>
          <w:tcPr>
            <w:tcW w:w="720" w:type="dxa"/>
            <w:vAlign w:val="center"/>
          </w:tcPr>
          <w:p w14:paraId="141FB436">
            <w:pPr>
              <w:pStyle w:val="178"/>
              <w:rPr>
                <w:rFonts w:ascii="Times New Roman" w:eastAsia="宋体" w:cs="Times New Roman"/>
                <w:spacing w:val="11"/>
              </w:rPr>
            </w:pPr>
            <w:r>
              <w:rPr>
                <w:rFonts w:hint="eastAsia" w:ascii="Times New Roman" w:eastAsia="宋体" w:cs="Times New Roman"/>
                <w:spacing w:val="11"/>
              </w:rPr>
              <w:t>▽</w:t>
            </w:r>
          </w:p>
        </w:tc>
        <w:tc>
          <w:tcPr>
            <w:tcW w:w="721" w:type="dxa"/>
            <w:vAlign w:val="center"/>
          </w:tcPr>
          <w:p w14:paraId="1DB5D1FC">
            <w:pPr>
              <w:pStyle w:val="178"/>
              <w:rPr>
                <w:rFonts w:ascii="Times New Roman" w:eastAsia="宋体" w:cs="Times New Roman"/>
                <w:spacing w:val="11"/>
              </w:rPr>
            </w:pPr>
            <w:r>
              <w:rPr>
                <w:rFonts w:hint="eastAsia" w:ascii="Times New Roman" w:eastAsia="宋体" w:cs="Times New Roman"/>
                <w:spacing w:val="11"/>
              </w:rPr>
              <w:t>▽</w:t>
            </w:r>
          </w:p>
        </w:tc>
        <w:tc>
          <w:tcPr>
            <w:tcW w:w="721" w:type="dxa"/>
            <w:vAlign w:val="center"/>
          </w:tcPr>
          <w:p w14:paraId="22C4E717">
            <w:pPr>
              <w:pStyle w:val="178"/>
              <w:rPr>
                <w:rFonts w:ascii="Times New Roman" w:eastAsia="宋体" w:cs="Times New Roman"/>
                <w:spacing w:val="11"/>
              </w:rPr>
            </w:pPr>
            <w:r>
              <w:rPr>
                <w:rFonts w:hint="eastAsia" w:ascii="Times New Roman" w:eastAsia="宋体" w:cs="Times New Roman"/>
                <w:spacing w:val="11"/>
              </w:rPr>
              <w:t>▽</w:t>
            </w:r>
          </w:p>
        </w:tc>
        <w:tc>
          <w:tcPr>
            <w:tcW w:w="720" w:type="dxa"/>
            <w:vAlign w:val="center"/>
          </w:tcPr>
          <w:p w14:paraId="54A598EF">
            <w:pPr>
              <w:pStyle w:val="178"/>
              <w:rPr>
                <w:rFonts w:ascii="Times New Roman" w:eastAsia="宋体" w:cs="Times New Roman"/>
                <w:spacing w:val="11"/>
              </w:rPr>
            </w:pPr>
            <w:r>
              <w:rPr>
                <w:rFonts w:hint="eastAsia" w:ascii="Times New Roman" w:eastAsia="宋体" w:cs="Times New Roman"/>
                <w:spacing w:val="11"/>
              </w:rPr>
              <w:t>▽</w:t>
            </w:r>
          </w:p>
        </w:tc>
        <w:tc>
          <w:tcPr>
            <w:tcW w:w="721" w:type="dxa"/>
            <w:vAlign w:val="center"/>
          </w:tcPr>
          <w:p w14:paraId="4123B75D">
            <w:pPr>
              <w:pStyle w:val="178"/>
              <w:rPr>
                <w:rFonts w:ascii="Times New Roman" w:eastAsia="宋体" w:cs="Times New Roman"/>
                <w:spacing w:val="11"/>
              </w:rPr>
            </w:pPr>
            <w:r>
              <w:rPr>
                <w:rFonts w:ascii="Times New Roman" w:eastAsia="宋体" w:cs="Times New Roman"/>
                <w:spacing w:val="11"/>
              </w:rPr>
              <w:t>×</w:t>
            </w:r>
          </w:p>
        </w:tc>
        <w:tc>
          <w:tcPr>
            <w:tcW w:w="721" w:type="dxa"/>
            <w:vAlign w:val="center"/>
          </w:tcPr>
          <w:p w14:paraId="315B52FE">
            <w:pPr>
              <w:pStyle w:val="178"/>
              <w:rPr>
                <w:rFonts w:ascii="Times New Roman" w:eastAsia="宋体" w:cs="Times New Roman"/>
                <w:spacing w:val="11"/>
              </w:rPr>
            </w:pPr>
            <w:r>
              <w:rPr>
                <w:rFonts w:ascii="Times New Roman" w:eastAsia="宋体" w:cs="Times New Roman"/>
                <w:spacing w:val="11"/>
              </w:rPr>
              <w:t>×</w:t>
            </w:r>
          </w:p>
        </w:tc>
        <w:tc>
          <w:tcPr>
            <w:tcW w:w="746" w:type="dxa"/>
            <w:tcBorders>
              <w:right w:val="single" w:color="000000" w:sz="6" w:space="0"/>
            </w:tcBorders>
            <w:vAlign w:val="center"/>
          </w:tcPr>
          <w:p w14:paraId="2407DD59">
            <w:pPr>
              <w:pStyle w:val="178"/>
              <w:rPr>
                <w:rFonts w:ascii="Times New Roman" w:eastAsia="宋体" w:cs="Times New Roman"/>
                <w:spacing w:val="11"/>
              </w:rPr>
            </w:pPr>
            <w:r>
              <w:rPr>
                <w:rFonts w:ascii="Times New Roman" w:eastAsia="宋体" w:cs="Times New Roman"/>
                <w:spacing w:val="11"/>
              </w:rPr>
              <w:t>×</w:t>
            </w:r>
          </w:p>
        </w:tc>
      </w:tr>
      <w:tr w14:paraId="707CC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989" w:type="dxa"/>
            <w:tcBorders>
              <w:left w:val="single" w:color="000000" w:sz="6" w:space="0"/>
            </w:tcBorders>
            <w:vAlign w:val="center"/>
          </w:tcPr>
          <w:p w14:paraId="2B7DC2DF">
            <w:pPr>
              <w:pStyle w:val="178"/>
              <w:rPr>
                <w:rFonts w:ascii="Times New Roman" w:eastAsia="宋体" w:cs="Times New Roman"/>
                <w:spacing w:val="11"/>
              </w:rPr>
            </w:pPr>
            <w:r>
              <w:rPr>
                <w:rFonts w:ascii="Times New Roman" w:eastAsia="宋体" w:cs="Times New Roman"/>
                <w:spacing w:val="11"/>
              </w:rPr>
              <w:t>3</w:t>
            </w:r>
          </w:p>
        </w:tc>
        <w:tc>
          <w:tcPr>
            <w:tcW w:w="721" w:type="dxa"/>
            <w:vAlign w:val="center"/>
          </w:tcPr>
          <w:p w14:paraId="35B19269">
            <w:pPr>
              <w:pStyle w:val="178"/>
              <w:rPr>
                <w:rFonts w:ascii="Times New Roman" w:eastAsia="宋体" w:cs="Times New Roman"/>
                <w:spacing w:val="11"/>
              </w:rPr>
            </w:pPr>
            <w:r>
              <w:rPr>
                <w:rFonts w:hint="eastAsia" w:ascii="Times New Roman" w:eastAsia="宋体" w:cs="Times New Roman"/>
                <w:spacing w:val="11"/>
              </w:rPr>
              <w:t>▽</w:t>
            </w:r>
          </w:p>
        </w:tc>
        <w:tc>
          <w:tcPr>
            <w:tcW w:w="721" w:type="dxa"/>
            <w:vAlign w:val="center"/>
          </w:tcPr>
          <w:p w14:paraId="33F69253">
            <w:pPr>
              <w:pStyle w:val="178"/>
              <w:rPr>
                <w:rFonts w:ascii="Times New Roman" w:eastAsia="宋体" w:cs="Times New Roman"/>
                <w:spacing w:val="11"/>
              </w:rPr>
            </w:pPr>
            <w:r>
              <w:rPr>
                <w:rFonts w:hint="eastAsia" w:ascii="Times New Roman" w:eastAsia="宋体" w:cs="Times New Roman"/>
                <w:spacing w:val="11"/>
              </w:rPr>
              <w:t>▽</w:t>
            </w:r>
          </w:p>
        </w:tc>
        <w:tc>
          <w:tcPr>
            <w:tcW w:w="721" w:type="dxa"/>
            <w:vAlign w:val="center"/>
          </w:tcPr>
          <w:p w14:paraId="4A411874">
            <w:pPr>
              <w:pStyle w:val="178"/>
              <w:rPr>
                <w:rFonts w:ascii="Times New Roman" w:eastAsia="宋体" w:cs="Times New Roman"/>
                <w:spacing w:val="11"/>
              </w:rPr>
            </w:pPr>
            <w:r>
              <w:rPr>
                <w:rFonts w:hint="eastAsia" w:ascii="Times New Roman" w:eastAsia="宋体" w:cs="Times New Roman"/>
                <w:spacing w:val="11"/>
              </w:rPr>
              <w:t>▽</w:t>
            </w:r>
          </w:p>
        </w:tc>
        <w:tc>
          <w:tcPr>
            <w:tcW w:w="720" w:type="dxa"/>
            <w:vAlign w:val="center"/>
          </w:tcPr>
          <w:p w14:paraId="1BC226BC">
            <w:pPr>
              <w:pStyle w:val="178"/>
              <w:rPr>
                <w:rFonts w:ascii="Times New Roman" w:eastAsia="宋体" w:cs="Times New Roman"/>
                <w:spacing w:val="11"/>
              </w:rPr>
            </w:pPr>
            <w:r>
              <w:rPr>
                <w:rFonts w:hint="eastAsia" w:ascii="Times New Roman" w:eastAsia="宋体" w:cs="Times New Roman"/>
                <w:spacing w:val="11"/>
              </w:rPr>
              <w:t>▽</w:t>
            </w:r>
          </w:p>
        </w:tc>
        <w:tc>
          <w:tcPr>
            <w:tcW w:w="721" w:type="dxa"/>
            <w:vAlign w:val="center"/>
          </w:tcPr>
          <w:p w14:paraId="646727D6">
            <w:pPr>
              <w:pStyle w:val="178"/>
              <w:rPr>
                <w:rFonts w:ascii="Times New Roman" w:eastAsia="宋体" w:cs="Times New Roman"/>
                <w:spacing w:val="11"/>
              </w:rPr>
            </w:pPr>
            <w:r>
              <w:rPr>
                <w:rFonts w:hint="eastAsia" w:ascii="Times New Roman" w:eastAsia="宋体" w:cs="Times New Roman"/>
                <w:spacing w:val="11"/>
              </w:rPr>
              <w:t>▽</w:t>
            </w:r>
          </w:p>
        </w:tc>
        <w:tc>
          <w:tcPr>
            <w:tcW w:w="721" w:type="dxa"/>
            <w:vAlign w:val="center"/>
          </w:tcPr>
          <w:p w14:paraId="08058031">
            <w:pPr>
              <w:pStyle w:val="178"/>
              <w:rPr>
                <w:rFonts w:ascii="Times New Roman" w:eastAsia="宋体" w:cs="Times New Roman"/>
                <w:spacing w:val="11"/>
              </w:rPr>
            </w:pPr>
            <w:r>
              <w:rPr>
                <w:rFonts w:ascii="Times New Roman" w:eastAsia="宋体" w:cs="Times New Roman"/>
                <w:spacing w:val="11"/>
              </w:rPr>
              <w:t>×</w:t>
            </w:r>
          </w:p>
        </w:tc>
        <w:tc>
          <w:tcPr>
            <w:tcW w:w="720" w:type="dxa"/>
            <w:vAlign w:val="center"/>
          </w:tcPr>
          <w:p w14:paraId="47860595">
            <w:pPr>
              <w:pStyle w:val="178"/>
              <w:rPr>
                <w:rFonts w:ascii="Times New Roman" w:eastAsia="宋体" w:cs="Times New Roman"/>
                <w:spacing w:val="11"/>
              </w:rPr>
            </w:pPr>
            <w:r>
              <w:rPr>
                <w:rFonts w:ascii="Times New Roman" w:eastAsia="宋体" w:cs="Times New Roman"/>
                <w:spacing w:val="11"/>
              </w:rPr>
              <w:t>×</w:t>
            </w:r>
          </w:p>
        </w:tc>
        <w:tc>
          <w:tcPr>
            <w:tcW w:w="721" w:type="dxa"/>
            <w:vAlign w:val="center"/>
          </w:tcPr>
          <w:p w14:paraId="0B3EEE19">
            <w:pPr>
              <w:pStyle w:val="178"/>
              <w:rPr>
                <w:rFonts w:ascii="Times New Roman" w:eastAsia="宋体" w:cs="Times New Roman"/>
                <w:spacing w:val="11"/>
              </w:rPr>
            </w:pPr>
            <w:r>
              <w:rPr>
                <w:rFonts w:ascii="Times New Roman" w:eastAsia="宋体" w:cs="Times New Roman"/>
                <w:spacing w:val="11"/>
              </w:rPr>
              <w:t>×</w:t>
            </w:r>
          </w:p>
        </w:tc>
        <w:tc>
          <w:tcPr>
            <w:tcW w:w="721" w:type="dxa"/>
            <w:vAlign w:val="center"/>
          </w:tcPr>
          <w:p w14:paraId="5132931D">
            <w:pPr>
              <w:pStyle w:val="178"/>
              <w:rPr>
                <w:rFonts w:ascii="Times New Roman" w:eastAsia="宋体" w:cs="Times New Roman"/>
                <w:spacing w:val="11"/>
              </w:rPr>
            </w:pPr>
            <w:r>
              <w:rPr>
                <w:rFonts w:ascii="Times New Roman" w:eastAsia="宋体" w:cs="Times New Roman"/>
                <w:spacing w:val="11"/>
              </w:rPr>
              <w:t>×</w:t>
            </w:r>
          </w:p>
        </w:tc>
        <w:tc>
          <w:tcPr>
            <w:tcW w:w="746" w:type="dxa"/>
            <w:tcBorders>
              <w:right w:val="single" w:color="000000" w:sz="6" w:space="0"/>
            </w:tcBorders>
            <w:vAlign w:val="center"/>
          </w:tcPr>
          <w:p w14:paraId="0E40D65F">
            <w:pPr>
              <w:pStyle w:val="178"/>
              <w:rPr>
                <w:rFonts w:ascii="Times New Roman" w:eastAsia="宋体" w:cs="Times New Roman"/>
                <w:spacing w:val="11"/>
              </w:rPr>
            </w:pPr>
            <w:r>
              <w:rPr>
                <w:rFonts w:ascii="Times New Roman" w:eastAsia="宋体" w:cs="Times New Roman"/>
                <w:spacing w:val="11"/>
              </w:rPr>
              <w:t>×</w:t>
            </w:r>
          </w:p>
        </w:tc>
      </w:tr>
      <w:tr w14:paraId="7FAD7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989" w:type="dxa"/>
            <w:tcBorders>
              <w:left w:val="single" w:color="000000" w:sz="6" w:space="0"/>
            </w:tcBorders>
            <w:vAlign w:val="center"/>
          </w:tcPr>
          <w:p w14:paraId="387BA3E0">
            <w:pPr>
              <w:pStyle w:val="178"/>
              <w:rPr>
                <w:rFonts w:ascii="Times New Roman" w:eastAsia="宋体" w:cs="Times New Roman"/>
                <w:spacing w:val="11"/>
              </w:rPr>
            </w:pPr>
            <w:r>
              <w:rPr>
                <w:rFonts w:ascii="Times New Roman" w:eastAsia="宋体" w:cs="Times New Roman"/>
                <w:spacing w:val="11"/>
              </w:rPr>
              <w:t>4</w:t>
            </w:r>
          </w:p>
        </w:tc>
        <w:tc>
          <w:tcPr>
            <w:tcW w:w="721" w:type="dxa"/>
            <w:vAlign w:val="center"/>
          </w:tcPr>
          <w:p w14:paraId="2323722B">
            <w:pPr>
              <w:pStyle w:val="178"/>
              <w:rPr>
                <w:rFonts w:ascii="Times New Roman" w:eastAsia="宋体" w:cs="Times New Roman"/>
                <w:spacing w:val="11"/>
              </w:rPr>
            </w:pPr>
            <w:r>
              <w:rPr>
                <w:rFonts w:hint="eastAsia" w:ascii="Times New Roman" w:eastAsia="宋体" w:cs="Times New Roman"/>
                <w:spacing w:val="11"/>
              </w:rPr>
              <w:t>▽</w:t>
            </w:r>
          </w:p>
        </w:tc>
        <w:tc>
          <w:tcPr>
            <w:tcW w:w="721" w:type="dxa"/>
            <w:vAlign w:val="center"/>
          </w:tcPr>
          <w:p w14:paraId="3790CD88">
            <w:pPr>
              <w:pStyle w:val="178"/>
              <w:rPr>
                <w:rFonts w:ascii="Times New Roman" w:eastAsia="宋体" w:cs="Times New Roman"/>
                <w:spacing w:val="11"/>
              </w:rPr>
            </w:pPr>
            <w:r>
              <w:rPr>
                <w:rFonts w:hint="eastAsia" w:ascii="Times New Roman" w:eastAsia="宋体" w:cs="Times New Roman"/>
                <w:spacing w:val="11"/>
              </w:rPr>
              <w:t>▽</w:t>
            </w:r>
          </w:p>
        </w:tc>
        <w:tc>
          <w:tcPr>
            <w:tcW w:w="721" w:type="dxa"/>
            <w:vAlign w:val="center"/>
          </w:tcPr>
          <w:p w14:paraId="34D18118">
            <w:pPr>
              <w:pStyle w:val="178"/>
              <w:rPr>
                <w:rFonts w:ascii="Times New Roman" w:eastAsia="宋体" w:cs="Times New Roman"/>
                <w:spacing w:val="11"/>
              </w:rPr>
            </w:pPr>
            <w:r>
              <w:rPr>
                <w:rFonts w:hint="eastAsia" w:ascii="Times New Roman" w:eastAsia="宋体" w:cs="Times New Roman"/>
                <w:spacing w:val="11"/>
              </w:rPr>
              <w:t>▽</w:t>
            </w:r>
          </w:p>
        </w:tc>
        <w:tc>
          <w:tcPr>
            <w:tcW w:w="720" w:type="dxa"/>
            <w:vAlign w:val="center"/>
          </w:tcPr>
          <w:p w14:paraId="61388808">
            <w:pPr>
              <w:pStyle w:val="178"/>
              <w:rPr>
                <w:rFonts w:ascii="Times New Roman" w:eastAsia="宋体" w:cs="Times New Roman"/>
                <w:spacing w:val="11"/>
              </w:rPr>
            </w:pPr>
            <w:r>
              <w:rPr>
                <w:rFonts w:hint="eastAsia" w:ascii="Times New Roman" w:eastAsia="宋体" w:cs="Times New Roman"/>
                <w:spacing w:val="11"/>
              </w:rPr>
              <w:t>▽</w:t>
            </w:r>
          </w:p>
        </w:tc>
        <w:tc>
          <w:tcPr>
            <w:tcW w:w="721" w:type="dxa"/>
            <w:vAlign w:val="center"/>
          </w:tcPr>
          <w:p w14:paraId="29CDDA16">
            <w:pPr>
              <w:pStyle w:val="178"/>
              <w:rPr>
                <w:rFonts w:ascii="Times New Roman" w:eastAsia="宋体" w:cs="Times New Roman"/>
                <w:spacing w:val="11"/>
              </w:rPr>
            </w:pPr>
            <w:r>
              <w:rPr>
                <w:rFonts w:ascii="Times New Roman" w:eastAsia="宋体" w:cs="Times New Roman"/>
                <w:spacing w:val="11"/>
              </w:rPr>
              <w:t>×</w:t>
            </w:r>
          </w:p>
        </w:tc>
        <w:tc>
          <w:tcPr>
            <w:tcW w:w="721" w:type="dxa"/>
            <w:vAlign w:val="center"/>
          </w:tcPr>
          <w:p w14:paraId="0C4E7491">
            <w:pPr>
              <w:pStyle w:val="178"/>
              <w:rPr>
                <w:rFonts w:ascii="Times New Roman" w:eastAsia="宋体" w:cs="Times New Roman"/>
                <w:spacing w:val="11"/>
              </w:rPr>
            </w:pPr>
            <w:r>
              <w:rPr>
                <w:rFonts w:ascii="Times New Roman" w:eastAsia="宋体" w:cs="Times New Roman"/>
                <w:spacing w:val="11"/>
              </w:rPr>
              <w:t>×</w:t>
            </w:r>
          </w:p>
        </w:tc>
        <w:tc>
          <w:tcPr>
            <w:tcW w:w="720" w:type="dxa"/>
            <w:vAlign w:val="center"/>
          </w:tcPr>
          <w:p w14:paraId="1780BBDF">
            <w:pPr>
              <w:pStyle w:val="178"/>
              <w:rPr>
                <w:rFonts w:ascii="Times New Roman" w:eastAsia="宋体" w:cs="Times New Roman"/>
                <w:spacing w:val="11"/>
              </w:rPr>
            </w:pPr>
            <w:r>
              <w:rPr>
                <w:rFonts w:ascii="Times New Roman" w:eastAsia="宋体" w:cs="Times New Roman"/>
                <w:spacing w:val="11"/>
              </w:rPr>
              <w:t>×</w:t>
            </w:r>
          </w:p>
        </w:tc>
        <w:tc>
          <w:tcPr>
            <w:tcW w:w="721" w:type="dxa"/>
            <w:vAlign w:val="center"/>
          </w:tcPr>
          <w:p w14:paraId="22018FDE">
            <w:pPr>
              <w:pStyle w:val="178"/>
              <w:rPr>
                <w:rFonts w:ascii="Times New Roman" w:eastAsia="宋体" w:cs="Times New Roman"/>
                <w:spacing w:val="11"/>
              </w:rPr>
            </w:pPr>
            <w:r>
              <w:rPr>
                <w:rFonts w:ascii="Times New Roman" w:eastAsia="宋体" w:cs="Times New Roman"/>
                <w:spacing w:val="11"/>
              </w:rPr>
              <w:t>×</w:t>
            </w:r>
          </w:p>
        </w:tc>
        <w:tc>
          <w:tcPr>
            <w:tcW w:w="721" w:type="dxa"/>
            <w:vAlign w:val="center"/>
          </w:tcPr>
          <w:p w14:paraId="5D3A2614">
            <w:pPr>
              <w:pStyle w:val="178"/>
              <w:rPr>
                <w:rFonts w:ascii="Times New Roman" w:eastAsia="宋体" w:cs="Times New Roman"/>
                <w:spacing w:val="11"/>
              </w:rPr>
            </w:pPr>
            <w:r>
              <w:rPr>
                <w:rFonts w:ascii="Times New Roman" w:eastAsia="宋体" w:cs="Times New Roman"/>
                <w:spacing w:val="11"/>
              </w:rPr>
              <w:t>×</w:t>
            </w:r>
          </w:p>
        </w:tc>
        <w:tc>
          <w:tcPr>
            <w:tcW w:w="746" w:type="dxa"/>
            <w:tcBorders>
              <w:right w:val="single" w:color="000000" w:sz="6" w:space="0"/>
            </w:tcBorders>
            <w:vAlign w:val="center"/>
          </w:tcPr>
          <w:p w14:paraId="31B28A66">
            <w:pPr>
              <w:pStyle w:val="178"/>
              <w:rPr>
                <w:rFonts w:ascii="Times New Roman" w:eastAsia="宋体" w:cs="Times New Roman"/>
                <w:spacing w:val="11"/>
              </w:rPr>
            </w:pPr>
            <w:r>
              <w:rPr>
                <w:rFonts w:ascii="Times New Roman" w:eastAsia="宋体" w:cs="Times New Roman"/>
                <w:spacing w:val="11"/>
              </w:rPr>
              <w:t>×</w:t>
            </w:r>
          </w:p>
        </w:tc>
      </w:tr>
      <w:tr w14:paraId="266D3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989" w:type="dxa"/>
            <w:tcBorders>
              <w:left w:val="single" w:color="000000" w:sz="6" w:space="0"/>
            </w:tcBorders>
            <w:vAlign w:val="center"/>
          </w:tcPr>
          <w:p w14:paraId="538748A4">
            <w:pPr>
              <w:pStyle w:val="178"/>
              <w:rPr>
                <w:rFonts w:ascii="Times New Roman" w:eastAsia="宋体" w:cs="Times New Roman"/>
                <w:spacing w:val="11"/>
              </w:rPr>
            </w:pPr>
            <w:r>
              <w:rPr>
                <w:rFonts w:ascii="Times New Roman" w:eastAsia="宋体" w:cs="Times New Roman"/>
                <w:spacing w:val="11"/>
              </w:rPr>
              <w:t>5</w:t>
            </w:r>
          </w:p>
        </w:tc>
        <w:tc>
          <w:tcPr>
            <w:tcW w:w="721" w:type="dxa"/>
            <w:vAlign w:val="center"/>
          </w:tcPr>
          <w:p w14:paraId="1BB463D8">
            <w:pPr>
              <w:pStyle w:val="178"/>
              <w:rPr>
                <w:rFonts w:ascii="Times New Roman" w:eastAsia="宋体" w:cs="Times New Roman"/>
                <w:spacing w:val="11"/>
              </w:rPr>
            </w:pPr>
            <w:r>
              <w:rPr>
                <w:rFonts w:hint="eastAsia" w:ascii="Times New Roman" w:eastAsia="宋体" w:cs="Times New Roman"/>
                <w:spacing w:val="11"/>
              </w:rPr>
              <w:t>▽</w:t>
            </w:r>
          </w:p>
        </w:tc>
        <w:tc>
          <w:tcPr>
            <w:tcW w:w="721" w:type="dxa"/>
            <w:vAlign w:val="center"/>
          </w:tcPr>
          <w:p w14:paraId="323C6F98">
            <w:pPr>
              <w:pStyle w:val="178"/>
              <w:rPr>
                <w:rFonts w:ascii="Times New Roman" w:eastAsia="宋体" w:cs="Times New Roman"/>
                <w:spacing w:val="11"/>
              </w:rPr>
            </w:pPr>
            <w:r>
              <w:rPr>
                <w:rFonts w:hint="eastAsia" w:ascii="Times New Roman" w:eastAsia="宋体" w:cs="Times New Roman"/>
                <w:spacing w:val="11"/>
              </w:rPr>
              <w:t>▽</w:t>
            </w:r>
          </w:p>
        </w:tc>
        <w:tc>
          <w:tcPr>
            <w:tcW w:w="721" w:type="dxa"/>
            <w:vAlign w:val="center"/>
          </w:tcPr>
          <w:p w14:paraId="7E123155">
            <w:pPr>
              <w:pStyle w:val="178"/>
              <w:rPr>
                <w:rFonts w:ascii="Times New Roman" w:eastAsia="宋体" w:cs="Times New Roman"/>
                <w:spacing w:val="11"/>
              </w:rPr>
            </w:pPr>
            <w:r>
              <w:rPr>
                <w:rFonts w:ascii="Times New Roman" w:eastAsia="宋体" w:cs="Times New Roman"/>
                <w:spacing w:val="11"/>
              </w:rPr>
              <w:t>×</w:t>
            </w:r>
          </w:p>
        </w:tc>
        <w:tc>
          <w:tcPr>
            <w:tcW w:w="720" w:type="dxa"/>
            <w:vAlign w:val="center"/>
          </w:tcPr>
          <w:p w14:paraId="2559542C">
            <w:pPr>
              <w:pStyle w:val="178"/>
              <w:rPr>
                <w:rFonts w:ascii="Times New Roman" w:eastAsia="宋体" w:cs="Times New Roman"/>
                <w:spacing w:val="11"/>
              </w:rPr>
            </w:pPr>
            <w:r>
              <w:rPr>
                <w:rFonts w:ascii="Times New Roman" w:eastAsia="宋体" w:cs="Times New Roman"/>
                <w:spacing w:val="11"/>
              </w:rPr>
              <w:t>×</w:t>
            </w:r>
          </w:p>
        </w:tc>
        <w:tc>
          <w:tcPr>
            <w:tcW w:w="721" w:type="dxa"/>
            <w:vAlign w:val="center"/>
          </w:tcPr>
          <w:p w14:paraId="782886E3">
            <w:pPr>
              <w:pStyle w:val="178"/>
              <w:rPr>
                <w:rFonts w:ascii="Times New Roman" w:eastAsia="宋体" w:cs="Times New Roman"/>
                <w:spacing w:val="11"/>
              </w:rPr>
            </w:pPr>
            <w:r>
              <w:rPr>
                <w:rFonts w:ascii="Times New Roman" w:eastAsia="宋体" w:cs="Times New Roman"/>
                <w:spacing w:val="11"/>
              </w:rPr>
              <w:t>×</w:t>
            </w:r>
          </w:p>
        </w:tc>
        <w:tc>
          <w:tcPr>
            <w:tcW w:w="721" w:type="dxa"/>
            <w:vAlign w:val="center"/>
          </w:tcPr>
          <w:p w14:paraId="005271D6">
            <w:pPr>
              <w:pStyle w:val="178"/>
              <w:rPr>
                <w:rFonts w:ascii="Times New Roman" w:eastAsia="宋体" w:cs="Times New Roman"/>
                <w:spacing w:val="11"/>
              </w:rPr>
            </w:pPr>
            <w:r>
              <w:rPr>
                <w:rFonts w:ascii="Times New Roman" w:eastAsia="宋体" w:cs="Times New Roman"/>
                <w:spacing w:val="11"/>
              </w:rPr>
              <w:t>×</w:t>
            </w:r>
          </w:p>
        </w:tc>
        <w:tc>
          <w:tcPr>
            <w:tcW w:w="720" w:type="dxa"/>
            <w:vAlign w:val="center"/>
          </w:tcPr>
          <w:p w14:paraId="3ACBA149">
            <w:pPr>
              <w:pStyle w:val="178"/>
              <w:rPr>
                <w:rFonts w:ascii="Times New Roman" w:eastAsia="宋体" w:cs="Times New Roman"/>
                <w:spacing w:val="11"/>
              </w:rPr>
            </w:pPr>
            <w:r>
              <w:rPr>
                <w:rFonts w:ascii="Times New Roman" w:eastAsia="宋体" w:cs="Times New Roman"/>
                <w:spacing w:val="11"/>
              </w:rPr>
              <w:t>×</w:t>
            </w:r>
          </w:p>
        </w:tc>
        <w:tc>
          <w:tcPr>
            <w:tcW w:w="721" w:type="dxa"/>
            <w:vAlign w:val="center"/>
          </w:tcPr>
          <w:p w14:paraId="219E4BD9">
            <w:pPr>
              <w:pStyle w:val="178"/>
              <w:rPr>
                <w:rFonts w:ascii="Times New Roman" w:eastAsia="宋体" w:cs="Times New Roman"/>
                <w:spacing w:val="11"/>
              </w:rPr>
            </w:pPr>
            <w:r>
              <w:rPr>
                <w:rFonts w:ascii="Times New Roman" w:eastAsia="宋体" w:cs="Times New Roman"/>
                <w:spacing w:val="11"/>
              </w:rPr>
              <w:t>×</w:t>
            </w:r>
          </w:p>
        </w:tc>
        <w:tc>
          <w:tcPr>
            <w:tcW w:w="721" w:type="dxa"/>
            <w:vAlign w:val="center"/>
          </w:tcPr>
          <w:p w14:paraId="1F362B83">
            <w:pPr>
              <w:pStyle w:val="178"/>
              <w:rPr>
                <w:rFonts w:ascii="Times New Roman" w:eastAsia="宋体" w:cs="Times New Roman"/>
                <w:spacing w:val="11"/>
              </w:rPr>
            </w:pPr>
            <w:r>
              <w:rPr>
                <w:rFonts w:ascii="Times New Roman" w:eastAsia="宋体" w:cs="Times New Roman"/>
                <w:spacing w:val="11"/>
              </w:rPr>
              <w:t>×</w:t>
            </w:r>
          </w:p>
        </w:tc>
        <w:tc>
          <w:tcPr>
            <w:tcW w:w="746" w:type="dxa"/>
            <w:tcBorders>
              <w:right w:val="single" w:color="000000" w:sz="6" w:space="0"/>
            </w:tcBorders>
            <w:vAlign w:val="center"/>
          </w:tcPr>
          <w:p w14:paraId="486D27CB">
            <w:pPr>
              <w:pStyle w:val="178"/>
              <w:rPr>
                <w:rFonts w:ascii="Times New Roman" w:eastAsia="宋体" w:cs="Times New Roman"/>
                <w:spacing w:val="11"/>
              </w:rPr>
            </w:pPr>
            <w:r>
              <w:rPr>
                <w:rFonts w:ascii="Times New Roman" w:eastAsia="宋体" w:cs="Times New Roman"/>
                <w:spacing w:val="11"/>
              </w:rPr>
              <w:t>×</w:t>
            </w:r>
          </w:p>
        </w:tc>
      </w:tr>
      <w:tr w14:paraId="1EDEC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989" w:type="dxa"/>
            <w:tcBorders>
              <w:left w:val="single" w:color="000000" w:sz="6" w:space="0"/>
              <w:bottom w:val="single" w:color="000000" w:sz="6" w:space="0"/>
            </w:tcBorders>
            <w:vAlign w:val="center"/>
          </w:tcPr>
          <w:p w14:paraId="41C15DBF">
            <w:pPr>
              <w:pStyle w:val="178"/>
              <w:rPr>
                <w:rFonts w:ascii="Times New Roman" w:eastAsia="宋体" w:cs="Times New Roman"/>
                <w:spacing w:val="11"/>
              </w:rPr>
            </w:pPr>
            <w:r>
              <w:rPr>
                <w:rFonts w:ascii="Times New Roman" w:eastAsia="宋体" w:cs="Times New Roman"/>
                <w:spacing w:val="11"/>
              </w:rPr>
              <w:t>6</w:t>
            </w:r>
          </w:p>
        </w:tc>
        <w:tc>
          <w:tcPr>
            <w:tcW w:w="721" w:type="dxa"/>
            <w:tcBorders>
              <w:bottom w:val="single" w:color="000000" w:sz="6" w:space="0"/>
            </w:tcBorders>
            <w:vAlign w:val="center"/>
          </w:tcPr>
          <w:p w14:paraId="566D636E">
            <w:pPr>
              <w:pStyle w:val="178"/>
              <w:rPr>
                <w:rFonts w:ascii="Times New Roman" w:eastAsia="宋体" w:cs="Times New Roman"/>
                <w:spacing w:val="11"/>
              </w:rPr>
            </w:pPr>
            <w:r>
              <w:rPr>
                <w:rFonts w:hint="eastAsia" w:ascii="Times New Roman" w:eastAsia="宋体" w:cs="Times New Roman"/>
                <w:spacing w:val="11"/>
              </w:rPr>
              <w:t>▽</w:t>
            </w:r>
          </w:p>
        </w:tc>
        <w:tc>
          <w:tcPr>
            <w:tcW w:w="721" w:type="dxa"/>
            <w:tcBorders>
              <w:bottom w:val="single" w:color="000000" w:sz="6" w:space="0"/>
            </w:tcBorders>
            <w:vAlign w:val="center"/>
          </w:tcPr>
          <w:p w14:paraId="4892CEF1">
            <w:pPr>
              <w:pStyle w:val="178"/>
              <w:rPr>
                <w:rFonts w:ascii="Times New Roman" w:eastAsia="宋体" w:cs="Times New Roman"/>
                <w:spacing w:val="11"/>
              </w:rPr>
            </w:pPr>
            <w:r>
              <w:rPr>
                <w:rFonts w:ascii="Times New Roman" w:eastAsia="宋体" w:cs="Times New Roman"/>
                <w:spacing w:val="11"/>
              </w:rPr>
              <w:t>×</w:t>
            </w:r>
          </w:p>
        </w:tc>
        <w:tc>
          <w:tcPr>
            <w:tcW w:w="721" w:type="dxa"/>
            <w:tcBorders>
              <w:bottom w:val="single" w:color="000000" w:sz="6" w:space="0"/>
            </w:tcBorders>
            <w:vAlign w:val="center"/>
          </w:tcPr>
          <w:p w14:paraId="3E82DA35">
            <w:pPr>
              <w:pStyle w:val="178"/>
              <w:rPr>
                <w:rFonts w:ascii="Times New Roman" w:eastAsia="宋体" w:cs="Times New Roman"/>
                <w:spacing w:val="11"/>
              </w:rPr>
            </w:pPr>
            <w:r>
              <w:rPr>
                <w:rFonts w:ascii="Times New Roman" w:eastAsia="宋体" w:cs="Times New Roman"/>
                <w:spacing w:val="11"/>
              </w:rPr>
              <w:t>×</w:t>
            </w:r>
          </w:p>
        </w:tc>
        <w:tc>
          <w:tcPr>
            <w:tcW w:w="720" w:type="dxa"/>
            <w:tcBorders>
              <w:bottom w:val="single" w:color="000000" w:sz="6" w:space="0"/>
            </w:tcBorders>
            <w:vAlign w:val="center"/>
          </w:tcPr>
          <w:p w14:paraId="62AC9CEE">
            <w:pPr>
              <w:pStyle w:val="178"/>
              <w:rPr>
                <w:rFonts w:ascii="Times New Roman" w:eastAsia="宋体" w:cs="Times New Roman"/>
                <w:spacing w:val="11"/>
              </w:rPr>
            </w:pPr>
            <w:r>
              <w:rPr>
                <w:rFonts w:ascii="Times New Roman" w:eastAsia="宋体" w:cs="Times New Roman"/>
                <w:spacing w:val="11"/>
              </w:rPr>
              <w:t>×</w:t>
            </w:r>
          </w:p>
        </w:tc>
        <w:tc>
          <w:tcPr>
            <w:tcW w:w="721" w:type="dxa"/>
            <w:tcBorders>
              <w:bottom w:val="single" w:color="000000" w:sz="6" w:space="0"/>
            </w:tcBorders>
            <w:vAlign w:val="center"/>
          </w:tcPr>
          <w:p w14:paraId="2436EEE4">
            <w:pPr>
              <w:pStyle w:val="178"/>
              <w:rPr>
                <w:rFonts w:ascii="Times New Roman" w:eastAsia="宋体" w:cs="Times New Roman"/>
                <w:spacing w:val="11"/>
              </w:rPr>
            </w:pPr>
            <w:r>
              <w:rPr>
                <w:rFonts w:ascii="Times New Roman" w:eastAsia="宋体" w:cs="Times New Roman"/>
                <w:spacing w:val="11"/>
              </w:rPr>
              <w:t>×</w:t>
            </w:r>
          </w:p>
        </w:tc>
        <w:tc>
          <w:tcPr>
            <w:tcW w:w="721" w:type="dxa"/>
            <w:tcBorders>
              <w:bottom w:val="single" w:color="000000" w:sz="6" w:space="0"/>
            </w:tcBorders>
            <w:vAlign w:val="center"/>
          </w:tcPr>
          <w:p w14:paraId="30259EE9">
            <w:pPr>
              <w:pStyle w:val="178"/>
              <w:rPr>
                <w:rFonts w:ascii="Times New Roman" w:eastAsia="宋体" w:cs="Times New Roman"/>
                <w:spacing w:val="11"/>
              </w:rPr>
            </w:pPr>
            <w:r>
              <w:rPr>
                <w:rFonts w:ascii="Times New Roman" w:eastAsia="宋体" w:cs="Times New Roman"/>
                <w:spacing w:val="11"/>
              </w:rPr>
              <w:t>×</w:t>
            </w:r>
          </w:p>
        </w:tc>
        <w:tc>
          <w:tcPr>
            <w:tcW w:w="720" w:type="dxa"/>
            <w:tcBorders>
              <w:bottom w:val="single" w:color="000000" w:sz="6" w:space="0"/>
            </w:tcBorders>
            <w:vAlign w:val="center"/>
          </w:tcPr>
          <w:p w14:paraId="33B3FA5C">
            <w:pPr>
              <w:pStyle w:val="178"/>
              <w:rPr>
                <w:rFonts w:ascii="Times New Roman" w:eastAsia="宋体" w:cs="Times New Roman"/>
                <w:spacing w:val="11"/>
              </w:rPr>
            </w:pPr>
            <w:r>
              <w:rPr>
                <w:rFonts w:ascii="Times New Roman" w:eastAsia="宋体" w:cs="Times New Roman"/>
                <w:spacing w:val="11"/>
              </w:rPr>
              <w:t>×</w:t>
            </w:r>
          </w:p>
        </w:tc>
        <w:tc>
          <w:tcPr>
            <w:tcW w:w="721" w:type="dxa"/>
            <w:tcBorders>
              <w:bottom w:val="single" w:color="000000" w:sz="6" w:space="0"/>
            </w:tcBorders>
            <w:vAlign w:val="center"/>
          </w:tcPr>
          <w:p w14:paraId="2CA68A35">
            <w:pPr>
              <w:pStyle w:val="178"/>
              <w:rPr>
                <w:rFonts w:ascii="Times New Roman" w:eastAsia="宋体" w:cs="Times New Roman"/>
                <w:spacing w:val="11"/>
              </w:rPr>
            </w:pPr>
            <w:r>
              <w:rPr>
                <w:rFonts w:ascii="Times New Roman" w:eastAsia="宋体" w:cs="Times New Roman"/>
                <w:spacing w:val="11"/>
              </w:rPr>
              <w:t>×</w:t>
            </w:r>
          </w:p>
        </w:tc>
        <w:tc>
          <w:tcPr>
            <w:tcW w:w="721" w:type="dxa"/>
            <w:tcBorders>
              <w:bottom w:val="single" w:color="000000" w:sz="6" w:space="0"/>
            </w:tcBorders>
            <w:vAlign w:val="center"/>
          </w:tcPr>
          <w:p w14:paraId="077BDA09">
            <w:pPr>
              <w:pStyle w:val="178"/>
              <w:rPr>
                <w:rFonts w:ascii="Times New Roman" w:eastAsia="宋体" w:cs="Times New Roman"/>
                <w:spacing w:val="11"/>
              </w:rPr>
            </w:pPr>
            <w:r>
              <w:rPr>
                <w:rFonts w:ascii="Times New Roman" w:eastAsia="宋体" w:cs="Times New Roman"/>
                <w:spacing w:val="11"/>
              </w:rPr>
              <w:t>×</w:t>
            </w:r>
          </w:p>
        </w:tc>
        <w:tc>
          <w:tcPr>
            <w:tcW w:w="746" w:type="dxa"/>
            <w:tcBorders>
              <w:bottom w:val="single" w:color="000000" w:sz="6" w:space="0"/>
              <w:right w:val="single" w:color="000000" w:sz="6" w:space="0"/>
            </w:tcBorders>
            <w:vAlign w:val="center"/>
          </w:tcPr>
          <w:p w14:paraId="1EF241F7">
            <w:pPr>
              <w:pStyle w:val="178"/>
              <w:rPr>
                <w:rFonts w:ascii="Times New Roman" w:eastAsia="宋体" w:cs="Times New Roman"/>
                <w:spacing w:val="11"/>
              </w:rPr>
            </w:pPr>
            <w:r>
              <w:rPr>
                <w:rFonts w:ascii="Times New Roman" w:eastAsia="宋体" w:cs="Times New Roman"/>
                <w:spacing w:val="11"/>
              </w:rPr>
              <w:t>×</w:t>
            </w:r>
          </w:p>
        </w:tc>
      </w:tr>
      <w:tr w14:paraId="68BA5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9222" w:type="dxa"/>
            <w:gridSpan w:val="11"/>
            <w:tcBorders>
              <w:top w:val="single" w:color="000000" w:sz="6" w:space="0"/>
              <w:left w:val="single" w:color="000000" w:sz="6" w:space="0"/>
              <w:bottom w:val="single" w:color="000000" w:sz="6" w:space="0"/>
              <w:right w:val="single" w:color="000000" w:sz="6" w:space="0"/>
            </w:tcBorders>
            <w:vAlign w:val="center"/>
          </w:tcPr>
          <w:p w14:paraId="6521D530">
            <w:pPr>
              <w:pStyle w:val="178"/>
              <w:ind w:left="420" w:leftChars="200"/>
              <w:jc w:val="both"/>
              <w:rPr>
                <w:rFonts w:ascii="Times New Roman" w:eastAsia="宋体" w:cs="Times New Roman"/>
                <w:spacing w:val="11"/>
              </w:rPr>
            </w:pPr>
            <w:r>
              <w:rPr>
                <w:rFonts w:ascii="Times New Roman" w:eastAsia="宋体" w:cs="Times New Roman"/>
                <w:spacing w:val="11"/>
              </w:rPr>
              <w:t>×：风险不可接受；</w:t>
            </w:r>
            <w:r>
              <w:rPr>
                <w:rFonts w:hint="eastAsia" w:ascii="Times New Roman" w:eastAsia="宋体" w:cs="Times New Roman"/>
                <w:spacing w:val="11"/>
              </w:rPr>
              <w:t>▽</w:t>
            </w:r>
            <w:r>
              <w:rPr>
                <w:rFonts w:ascii="Times New Roman" w:eastAsia="宋体" w:cs="Times New Roman"/>
                <w:spacing w:val="11"/>
              </w:rPr>
              <w:t xml:space="preserve"> ：风险可接受</w:t>
            </w:r>
          </w:p>
        </w:tc>
      </w:tr>
    </w:tbl>
    <w:p w14:paraId="22697338">
      <w:pPr>
        <w:pStyle w:val="78"/>
        <w:spacing w:before="120" w:after="120"/>
      </w:pPr>
      <w:bookmarkStart w:id="115" w:name="_Toc177558394"/>
      <w:bookmarkStart w:id="116" w:name="_Toc177558359"/>
      <w:r>
        <w:rPr>
          <w:rFonts w:hint="eastAsia"/>
        </w:rPr>
        <w:t>报告输出</w:t>
      </w:r>
      <w:bookmarkEnd w:id="115"/>
      <w:bookmarkEnd w:id="116"/>
    </w:p>
    <w:p w14:paraId="274AE006">
      <w:pPr>
        <w:pStyle w:val="56"/>
        <w:ind w:firstLine="420"/>
        <w:sectPr>
          <w:pgSz w:w="11906" w:h="16838"/>
          <w:pgMar w:top="1928" w:right="1134" w:bottom="1134" w:left="1134" w:header="1418" w:footer="1134" w:gutter="284"/>
          <w:pgBorders>
            <w:top w:val="none" w:sz="0" w:space="0"/>
            <w:left w:val="none" w:sz="0" w:space="0"/>
            <w:bottom w:val="none" w:sz="0" w:space="0"/>
            <w:right w:val="none" w:sz="0" w:space="0"/>
          </w:pgBorders>
          <w:cols w:space="425" w:num="1"/>
          <w:formProt w:val="0"/>
          <w:docGrid w:linePitch="312" w:charSpace="0"/>
        </w:sectPr>
      </w:pPr>
      <w:r>
        <w:rPr>
          <w:rFonts w:hint="eastAsia"/>
        </w:rPr>
        <w:t>依次完成“可采取的措施”、“采取措施后的</w:t>
      </w:r>
      <w:r>
        <w:rPr>
          <w:rFonts w:hint="eastAsia"/>
          <w:lang w:eastAsia="zh-CN"/>
        </w:rPr>
        <w:t>危害性</w:t>
      </w:r>
      <w:r>
        <w:rPr>
          <w:rFonts w:hint="eastAsia"/>
        </w:rPr>
        <w:t>评价”等工作，即可完成机械臂关节 1 的 DFMECA 报表。</w:t>
      </w:r>
    </w:p>
    <w:p w14:paraId="57F51A97">
      <w:pPr>
        <w:pStyle w:val="76"/>
        <w:spacing w:after="120"/>
        <w:rPr>
          <w:rFonts w:hint="eastAsia"/>
        </w:rPr>
      </w:pPr>
      <w:r>
        <w:br w:type="textWrapping"/>
      </w:r>
      <w:bookmarkStart w:id="117" w:name="_Toc177558360"/>
      <w:bookmarkStart w:id="118" w:name="_Toc177558395"/>
      <w:r>
        <w:rPr>
          <w:rFonts w:hint="eastAsia"/>
        </w:rPr>
        <w:t>（规范性）</w:t>
      </w:r>
      <w:r>
        <w:br w:type="textWrapping"/>
      </w:r>
      <w:r>
        <w:rPr>
          <w:rFonts w:hint="eastAsia"/>
        </w:rPr>
        <w:t>FMECA 报告模板</w:t>
      </w:r>
      <w:bookmarkEnd w:id="117"/>
      <w:bookmarkEnd w:id="118"/>
    </w:p>
    <w:p w14:paraId="2D0122EA">
      <w:pPr>
        <w:pStyle w:val="56"/>
        <w:ind w:firstLine="420"/>
        <w:rPr>
          <w:rFonts w:hint="eastAsia"/>
        </w:rPr>
      </w:pPr>
      <w:r>
        <w:rPr>
          <w:rFonts w:hint="eastAsia"/>
        </w:rPr>
        <w:t>FMECA</w:t>
      </w:r>
      <w:r>
        <w:t xml:space="preserve"> </w:t>
      </w:r>
      <w:r>
        <w:rPr>
          <w:rFonts w:hint="eastAsia"/>
        </w:rPr>
        <w:t>报告常用模板见表 B.1 。</w:t>
      </w:r>
    </w:p>
    <w:p w14:paraId="51A1DFF1">
      <w:pPr>
        <w:pStyle w:val="77"/>
        <w:numPr>
          <w:ilvl w:val="0"/>
          <w:numId w:val="0"/>
        </w:numPr>
        <w:spacing w:before="120" w:after="120"/>
        <w:rPr>
          <w:rFonts w:hint="eastAsia"/>
        </w:rPr>
      </w:pPr>
      <w:r>
        <w:rPr>
          <w:rFonts w:hint="eastAsia"/>
        </w:rPr>
        <w:t>表B</w:t>
      </w:r>
      <w:r>
        <w:t xml:space="preserve">.1  </w:t>
      </w:r>
      <w:r>
        <w:rPr>
          <w:rFonts w:hint="eastAsia"/>
        </w:rPr>
        <w:t>FMECA 报告模板</w:t>
      </w:r>
    </w:p>
    <w:tbl>
      <w:tblPr>
        <w:tblStyle w:val="231"/>
        <w:tblW w:w="13370" w:type="dxa"/>
        <w:tblInd w:w="3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8"/>
        <w:gridCol w:w="540"/>
        <w:gridCol w:w="540"/>
        <w:gridCol w:w="540"/>
        <w:gridCol w:w="540"/>
        <w:gridCol w:w="540"/>
        <w:gridCol w:w="541"/>
        <w:gridCol w:w="450"/>
        <w:gridCol w:w="451"/>
        <w:gridCol w:w="450"/>
        <w:gridCol w:w="451"/>
        <w:gridCol w:w="901"/>
        <w:gridCol w:w="901"/>
        <w:gridCol w:w="901"/>
        <w:gridCol w:w="901"/>
        <w:gridCol w:w="901"/>
        <w:gridCol w:w="901"/>
        <w:gridCol w:w="901"/>
        <w:gridCol w:w="901"/>
        <w:gridCol w:w="571"/>
      </w:tblGrid>
      <w:tr w14:paraId="3B7FA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13370" w:type="dxa"/>
            <w:gridSpan w:val="20"/>
            <w:tcBorders>
              <w:top w:val="single" w:color="000000" w:sz="6" w:space="0"/>
              <w:left w:val="single" w:color="000000" w:sz="6" w:space="0"/>
              <w:right w:val="single" w:color="000000" w:sz="6" w:space="0"/>
            </w:tcBorders>
          </w:tcPr>
          <w:p w14:paraId="1D158C07">
            <w:pPr>
              <w:spacing w:line="277" w:lineRule="auto"/>
              <w:rPr>
                <w:rFonts w:ascii="宋体" w:hAnsi="宋体" w:eastAsia="宋体" w:cs="Times New Roman"/>
                <w:sz w:val="18"/>
                <w:szCs w:val="18"/>
              </w:rPr>
            </w:pPr>
          </w:p>
          <w:p w14:paraId="23B102E9">
            <w:pPr>
              <w:pStyle w:val="232"/>
              <w:spacing w:before="69" w:line="194" w:lineRule="auto"/>
              <w:ind w:left="829"/>
              <w:rPr>
                <w:rFonts w:ascii="宋体" w:hAnsi="宋体" w:eastAsia="宋体" w:cs="Times New Roman"/>
                <w:sz w:val="18"/>
                <w:szCs w:val="18"/>
                <w:lang w:eastAsia="zh-CN"/>
              </w:rPr>
            </w:pPr>
            <w:r>
              <w:rPr>
                <w:rFonts w:ascii="宋体" w:hAnsi="宋体" w:eastAsia="宋体" w:cs="Times New Roman"/>
                <w:spacing w:val="1"/>
                <w:sz w:val="18"/>
                <w:szCs w:val="18"/>
                <w:lang w:eastAsia="zh-CN"/>
              </w:rPr>
              <w:t>项目名称：</w:t>
            </w:r>
            <w:r>
              <w:rPr>
                <w:rFonts w:ascii="宋体" w:hAnsi="宋体" w:eastAsia="宋体" w:cs="Times New Roman"/>
                <w:spacing w:val="1"/>
                <w:sz w:val="18"/>
                <w:szCs w:val="18"/>
                <w:u w:val="single"/>
                <w:lang w:eastAsia="zh-CN"/>
              </w:rPr>
              <w:t xml:space="preserve">                                     </w:t>
            </w:r>
            <w:r>
              <w:rPr>
                <w:rFonts w:ascii="宋体" w:hAnsi="宋体" w:eastAsia="宋体" w:cs="Times New Roman"/>
                <w:spacing w:val="1"/>
                <w:sz w:val="18"/>
                <w:szCs w:val="18"/>
                <w:lang w:eastAsia="zh-CN"/>
              </w:rPr>
              <w:t xml:space="preserve">    </w:t>
            </w:r>
            <w:r>
              <w:rPr>
                <w:rFonts w:ascii="宋体" w:hAnsi="宋体" w:eastAsia="宋体" w:cs="Times New Roman"/>
                <w:sz w:val="18"/>
                <w:szCs w:val="18"/>
                <w:lang w:eastAsia="zh-CN"/>
              </w:rPr>
              <w:t xml:space="preserve">                                   分析日期：</w:t>
            </w:r>
            <w:r>
              <w:rPr>
                <w:rFonts w:ascii="宋体" w:hAnsi="宋体" w:eastAsia="宋体" w:cs="Times New Roman"/>
                <w:sz w:val="18"/>
                <w:szCs w:val="18"/>
                <w:u w:val="single"/>
                <w:lang w:eastAsia="zh-CN"/>
              </w:rPr>
              <w:t xml:space="preserve">                                      </w:t>
            </w:r>
          </w:p>
          <w:p w14:paraId="4FF08CB3">
            <w:pPr>
              <w:pStyle w:val="232"/>
              <w:spacing w:before="62" w:line="187" w:lineRule="auto"/>
              <w:ind w:left="830"/>
              <w:rPr>
                <w:rFonts w:ascii="宋体" w:hAnsi="宋体" w:eastAsia="宋体" w:cs="Times New Roman"/>
                <w:sz w:val="18"/>
                <w:szCs w:val="18"/>
                <w:lang w:eastAsia="zh-CN"/>
              </w:rPr>
            </w:pPr>
            <w:r>
              <w:rPr>
                <w:rFonts w:ascii="宋体" w:hAnsi="宋体" w:eastAsia="宋体" w:cs="Times New Roman"/>
                <w:spacing w:val="6"/>
                <w:sz w:val="18"/>
                <w:szCs w:val="18"/>
                <w:lang w:eastAsia="zh-CN"/>
              </w:rPr>
              <w:t>产品型号</w:t>
            </w:r>
            <w:r>
              <w:rPr>
                <w:rFonts w:ascii="宋体" w:hAnsi="宋体" w:eastAsia="宋体" w:cs="Times New Roman"/>
                <w:spacing w:val="6"/>
                <w:position w:val="1"/>
                <w:sz w:val="18"/>
                <w:szCs w:val="18"/>
                <w:lang w:eastAsia="zh-CN"/>
              </w:rPr>
              <w:t>：</w:t>
            </w:r>
            <w:r>
              <w:rPr>
                <w:rFonts w:ascii="宋体" w:hAnsi="宋体" w:eastAsia="宋体" w:cs="Times New Roman"/>
                <w:spacing w:val="6"/>
                <w:position w:val="1"/>
                <w:sz w:val="18"/>
                <w:szCs w:val="18"/>
                <w:u w:val="single"/>
                <w:lang w:eastAsia="zh-CN"/>
              </w:rPr>
              <w:t xml:space="preserve">                                   </w:t>
            </w:r>
            <w:r>
              <w:rPr>
                <w:rFonts w:ascii="宋体" w:hAnsi="宋体" w:eastAsia="宋体" w:cs="Times New Roman"/>
                <w:spacing w:val="1"/>
                <w:position w:val="1"/>
                <w:sz w:val="18"/>
                <w:szCs w:val="18"/>
                <w:lang w:eastAsia="zh-CN"/>
              </w:rPr>
              <w:t xml:space="preserve">                               </w:t>
            </w:r>
            <w:r>
              <w:rPr>
                <w:rFonts w:ascii="宋体" w:hAnsi="宋体" w:eastAsia="宋体" w:cs="Times New Roman"/>
                <w:position w:val="1"/>
                <w:sz w:val="18"/>
                <w:szCs w:val="18"/>
                <w:lang w:eastAsia="zh-CN"/>
              </w:rPr>
              <w:t xml:space="preserve">   </w:t>
            </w:r>
            <w:r>
              <w:rPr>
                <w:rFonts w:ascii="宋体" w:hAnsi="宋体" w:eastAsia="宋体" w:cs="Times New Roman"/>
                <w:sz w:val="18"/>
                <w:szCs w:val="18"/>
                <w:lang w:eastAsia="zh-CN"/>
              </w:rPr>
              <w:t xml:space="preserve">FMECA </w:t>
            </w:r>
            <w:r>
              <w:rPr>
                <w:rFonts w:ascii="宋体" w:hAnsi="宋体" w:eastAsia="宋体" w:cs="Times New Roman"/>
                <w:spacing w:val="6"/>
                <w:sz w:val="18"/>
                <w:szCs w:val="18"/>
                <w:lang w:eastAsia="zh-CN"/>
              </w:rPr>
              <w:t>版本</w:t>
            </w:r>
            <w:r>
              <w:rPr>
                <w:rFonts w:ascii="宋体" w:hAnsi="宋体" w:eastAsia="宋体" w:cs="Times New Roman"/>
                <w:spacing w:val="6"/>
                <w:position w:val="1"/>
                <w:sz w:val="18"/>
                <w:szCs w:val="18"/>
                <w:lang w:eastAsia="zh-CN"/>
              </w:rPr>
              <w:t>：</w:t>
            </w:r>
            <w:r>
              <w:rPr>
                <w:rFonts w:ascii="宋体" w:hAnsi="宋体" w:eastAsia="宋体" w:cs="Times New Roman"/>
                <w:position w:val="1"/>
                <w:sz w:val="18"/>
                <w:szCs w:val="18"/>
                <w:u w:val="single"/>
                <w:lang w:eastAsia="zh-CN"/>
              </w:rPr>
              <w:t xml:space="preserve">                                      </w:t>
            </w:r>
          </w:p>
          <w:p w14:paraId="3E5770CC">
            <w:pPr>
              <w:pStyle w:val="232"/>
              <w:spacing w:before="60" w:line="195" w:lineRule="auto"/>
              <w:ind w:left="830"/>
              <w:rPr>
                <w:rFonts w:ascii="Times New Roman" w:hAnsi="Times New Roman" w:cs="Times New Roman"/>
                <w:lang w:eastAsia="zh-CN"/>
              </w:rPr>
            </w:pPr>
            <w:r>
              <w:rPr>
                <w:rFonts w:ascii="宋体" w:hAnsi="宋体" w:eastAsia="宋体" w:cs="Times New Roman"/>
                <w:spacing w:val="1"/>
                <w:sz w:val="18"/>
                <w:szCs w:val="18"/>
                <w:lang w:eastAsia="zh-CN"/>
              </w:rPr>
              <w:t>分析对象：</w:t>
            </w:r>
            <w:r>
              <w:rPr>
                <w:rFonts w:ascii="宋体" w:hAnsi="宋体" w:eastAsia="宋体" w:cs="Times New Roman"/>
                <w:spacing w:val="1"/>
                <w:sz w:val="18"/>
                <w:szCs w:val="18"/>
                <w:u w:val="single"/>
                <w:lang w:eastAsia="zh-CN"/>
              </w:rPr>
              <w:t xml:space="preserve">                                     </w:t>
            </w:r>
            <w:r>
              <w:rPr>
                <w:rFonts w:ascii="宋体" w:hAnsi="宋体" w:eastAsia="宋体" w:cs="Times New Roman"/>
                <w:spacing w:val="1"/>
                <w:sz w:val="18"/>
                <w:szCs w:val="18"/>
                <w:lang w:eastAsia="zh-CN"/>
              </w:rPr>
              <w:t xml:space="preserve">                   </w:t>
            </w:r>
            <w:r>
              <w:rPr>
                <w:rFonts w:ascii="宋体" w:hAnsi="宋体" w:eastAsia="宋体" w:cs="Times New Roman"/>
                <w:sz w:val="18"/>
                <w:szCs w:val="18"/>
                <w:lang w:eastAsia="zh-CN"/>
              </w:rPr>
              <w:t xml:space="preserve">                    分析人员：</w:t>
            </w:r>
            <w:r>
              <w:rPr>
                <w:rFonts w:ascii="宋体" w:hAnsi="宋体" w:eastAsia="宋体" w:cs="Times New Roman"/>
                <w:sz w:val="18"/>
                <w:szCs w:val="18"/>
                <w:u w:val="single"/>
                <w:lang w:eastAsia="zh-CN"/>
              </w:rPr>
              <w:t xml:space="preserve">                                      </w:t>
            </w:r>
          </w:p>
        </w:tc>
      </w:tr>
      <w:tr w14:paraId="1620D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48" w:type="dxa"/>
            <w:vMerge w:val="restart"/>
            <w:tcBorders>
              <w:left w:val="single" w:color="000000" w:sz="6" w:space="0"/>
              <w:bottom w:val="nil"/>
            </w:tcBorders>
            <w:vAlign w:val="center"/>
          </w:tcPr>
          <w:p w14:paraId="3DEE9002">
            <w:pPr>
              <w:pStyle w:val="178"/>
              <w:rPr>
                <w:rFonts w:ascii="Times New Roman" w:eastAsia="宋体" w:cs="Times New Roman"/>
                <w:spacing w:val="11"/>
              </w:rPr>
            </w:pPr>
            <w:r>
              <w:rPr>
                <w:rFonts w:ascii="Times New Roman" w:eastAsia="宋体" w:cs="Times New Roman"/>
                <w:spacing w:val="11"/>
              </w:rPr>
              <w:t>序号</w:t>
            </w:r>
          </w:p>
        </w:tc>
        <w:tc>
          <w:tcPr>
            <w:tcW w:w="540" w:type="dxa"/>
            <w:vMerge w:val="restart"/>
            <w:tcBorders>
              <w:bottom w:val="nil"/>
            </w:tcBorders>
            <w:vAlign w:val="center"/>
          </w:tcPr>
          <w:p w14:paraId="75C9ABB0">
            <w:pPr>
              <w:pStyle w:val="178"/>
              <w:rPr>
                <w:rFonts w:ascii="Times New Roman" w:eastAsia="宋体" w:cs="Times New Roman"/>
                <w:spacing w:val="11"/>
              </w:rPr>
            </w:pPr>
            <w:r>
              <w:rPr>
                <w:rFonts w:ascii="Times New Roman" w:eastAsia="宋体" w:cs="Times New Roman"/>
                <w:spacing w:val="11"/>
              </w:rPr>
              <w:t>分析对象</w:t>
            </w:r>
          </w:p>
        </w:tc>
        <w:tc>
          <w:tcPr>
            <w:tcW w:w="540" w:type="dxa"/>
            <w:vMerge w:val="restart"/>
            <w:tcBorders>
              <w:bottom w:val="nil"/>
            </w:tcBorders>
            <w:vAlign w:val="center"/>
          </w:tcPr>
          <w:p w14:paraId="3B277426">
            <w:pPr>
              <w:pStyle w:val="178"/>
              <w:rPr>
                <w:rFonts w:ascii="Times New Roman" w:eastAsia="宋体" w:cs="Times New Roman"/>
                <w:spacing w:val="11"/>
              </w:rPr>
            </w:pPr>
            <w:r>
              <w:rPr>
                <w:rFonts w:ascii="Times New Roman" w:eastAsia="宋体" w:cs="Times New Roman"/>
                <w:spacing w:val="11"/>
              </w:rPr>
              <w:t>功能描述</w:t>
            </w:r>
          </w:p>
        </w:tc>
        <w:tc>
          <w:tcPr>
            <w:tcW w:w="540" w:type="dxa"/>
            <w:vMerge w:val="restart"/>
            <w:tcBorders>
              <w:bottom w:val="nil"/>
            </w:tcBorders>
            <w:vAlign w:val="center"/>
          </w:tcPr>
          <w:p w14:paraId="51617E09">
            <w:pPr>
              <w:pStyle w:val="178"/>
              <w:rPr>
                <w:rFonts w:ascii="Times New Roman" w:eastAsia="宋体" w:cs="Times New Roman"/>
                <w:spacing w:val="11"/>
              </w:rPr>
            </w:pPr>
            <w:r>
              <w:rPr>
                <w:rFonts w:ascii="Times New Roman" w:eastAsia="宋体" w:cs="Times New Roman"/>
                <w:spacing w:val="11"/>
              </w:rPr>
              <w:t>失效模式</w:t>
            </w:r>
          </w:p>
        </w:tc>
        <w:tc>
          <w:tcPr>
            <w:tcW w:w="540" w:type="dxa"/>
            <w:vMerge w:val="restart"/>
            <w:tcBorders>
              <w:bottom w:val="nil"/>
            </w:tcBorders>
            <w:vAlign w:val="center"/>
          </w:tcPr>
          <w:p w14:paraId="17DC4908">
            <w:pPr>
              <w:pStyle w:val="178"/>
              <w:rPr>
                <w:rFonts w:ascii="Times New Roman" w:eastAsia="宋体" w:cs="Times New Roman"/>
                <w:spacing w:val="11"/>
              </w:rPr>
            </w:pPr>
            <w:r>
              <w:rPr>
                <w:rFonts w:ascii="Times New Roman" w:eastAsia="宋体" w:cs="Times New Roman"/>
                <w:spacing w:val="11"/>
              </w:rPr>
              <w:t>失效原因</w:t>
            </w:r>
          </w:p>
        </w:tc>
        <w:tc>
          <w:tcPr>
            <w:tcW w:w="1081" w:type="dxa"/>
            <w:gridSpan w:val="2"/>
            <w:vAlign w:val="center"/>
          </w:tcPr>
          <w:p w14:paraId="647B1447">
            <w:pPr>
              <w:pStyle w:val="178"/>
              <w:rPr>
                <w:rFonts w:ascii="Times New Roman" w:eastAsia="宋体" w:cs="Times New Roman"/>
                <w:spacing w:val="11"/>
              </w:rPr>
            </w:pPr>
            <w:r>
              <w:rPr>
                <w:rFonts w:ascii="Times New Roman" w:eastAsia="宋体" w:cs="Times New Roman"/>
                <w:spacing w:val="11"/>
              </w:rPr>
              <w:t>失效影响</w:t>
            </w:r>
          </w:p>
        </w:tc>
        <w:tc>
          <w:tcPr>
            <w:tcW w:w="3604" w:type="dxa"/>
            <w:gridSpan w:val="6"/>
            <w:vAlign w:val="center"/>
          </w:tcPr>
          <w:p w14:paraId="0C55C379">
            <w:pPr>
              <w:pStyle w:val="178"/>
              <w:rPr>
                <w:rFonts w:ascii="Times New Roman" w:eastAsia="宋体" w:cs="Times New Roman"/>
                <w:spacing w:val="11"/>
              </w:rPr>
            </w:pPr>
            <w:r>
              <w:rPr>
                <w:rFonts w:ascii="Times New Roman" w:eastAsia="宋体" w:cs="Times New Roman"/>
                <w:spacing w:val="11"/>
              </w:rPr>
              <w:t>措施前</w:t>
            </w:r>
          </w:p>
        </w:tc>
        <w:tc>
          <w:tcPr>
            <w:tcW w:w="1802" w:type="dxa"/>
            <w:gridSpan w:val="2"/>
            <w:vAlign w:val="center"/>
          </w:tcPr>
          <w:p w14:paraId="77BC8FEF">
            <w:pPr>
              <w:pStyle w:val="178"/>
              <w:rPr>
                <w:rFonts w:ascii="Times New Roman" w:eastAsia="宋体" w:cs="Times New Roman"/>
                <w:spacing w:val="11"/>
              </w:rPr>
            </w:pPr>
            <w:r>
              <w:rPr>
                <w:rFonts w:ascii="Times New Roman" w:eastAsia="宋体" w:cs="Times New Roman"/>
                <w:spacing w:val="11"/>
              </w:rPr>
              <w:t>措施</w:t>
            </w:r>
          </w:p>
        </w:tc>
        <w:tc>
          <w:tcPr>
            <w:tcW w:w="3604" w:type="dxa"/>
            <w:gridSpan w:val="4"/>
            <w:vAlign w:val="center"/>
          </w:tcPr>
          <w:p w14:paraId="6526765B">
            <w:pPr>
              <w:pStyle w:val="178"/>
              <w:rPr>
                <w:rFonts w:ascii="Times New Roman" w:eastAsia="宋体" w:cs="Times New Roman"/>
                <w:spacing w:val="11"/>
              </w:rPr>
            </w:pPr>
            <w:r>
              <w:rPr>
                <w:rFonts w:ascii="Times New Roman" w:eastAsia="宋体" w:cs="Times New Roman"/>
                <w:spacing w:val="11"/>
              </w:rPr>
              <w:t>措施后</w:t>
            </w:r>
          </w:p>
        </w:tc>
        <w:tc>
          <w:tcPr>
            <w:tcW w:w="571" w:type="dxa"/>
            <w:vMerge w:val="restart"/>
            <w:tcBorders>
              <w:bottom w:val="nil"/>
              <w:right w:val="single" w:color="000000" w:sz="6" w:space="0"/>
            </w:tcBorders>
            <w:vAlign w:val="center"/>
          </w:tcPr>
          <w:p w14:paraId="2B54FB45">
            <w:pPr>
              <w:pStyle w:val="178"/>
              <w:rPr>
                <w:rFonts w:ascii="Times New Roman" w:eastAsia="宋体" w:cs="Times New Roman"/>
                <w:spacing w:val="11"/>
              </w:rPr>
            </w:pPr>
            <w:r>
              <w:rPr>
                <w:rFonts w:ascii="Times New Roman" w:eastAsia="宋体" w:cs="Times New Roman"/>
                <w:spacing w:val="11"/>
              </w:rPr>
              <w:t>参考文件</w:t>
            </w:r>
          </w:p>
        </w:tc>
      </w:tr>
      <w:tr w14:paraId="5F6CD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548" w:type="dxa"/>
            <w:vMerge w:val="continue"/>
            <w:tcBorders>
              <w:top w:val="nil"/>
              <w:left w:val="single" w:color="000000" w:sz="6" w:space="0"/>
              <w:bottom w:val="single" w:color="000000" w:sz="6" w:space="0"/>
            </w:tcBorders>
            <w:vAlign w:val="center"/>
          </w:tcPr>
          <w:p w14:paraId="407C83A3">
            <w:pPr>
              <w:pStyle w:val="178"/>
              <w:rPr>
                <w:rFonts w:ascii="Times New Roman" w:eastAsia="宋体" w:cs="Times New Roman"/>
                <w:spacing w:val="11"/>
              </w:rPr>
            </w:pPr>
          </w:p>
        </w:tc>
        <w:tc>
          <w:tcPr>
            <w:tcW w:w="540" w:type="dxa"/>
            <w:vMerge w:val="continue"/>
            <w:tcBorders>
              <w:top w:val="nil"/>
              <w:bottom w:val="single" w:color="000000" w:sz="6" w:space="0"/>
            </w:tcBorders>
            <w:vAlign w:val="center"/>
          </w:tcPr>
          <w:p w14:paraId="2248BFA1">
            <w:pPr>
              <w:pStyle w:val="178"/>
              <w:rPr>
                <w:rFonts w:ascii="Times New Roman" w:eastAsia="宋体" w:cs="Times New Roman"/>
                <w:spacing w:val="11"/>
              </w:rPr>
            </w:pPr>
          </w:p>
        </w:tc>
        <w:tc>
          <w:tcPr>
            <w:tcW w:w="540" w:type="dxa"/>
            <w:vMerge w:val="continue"/>
            <w:tcBorders>
              <w:top w:val="nil"/>
              <w:bottom w:val="single" w:color="000000" w:sz="6" w:space="0"/>
            </w:tcBorders>
            <w:vAlign w:val="center"/>
          </w:tcPr>
          <w:p w14:paraId="4527C72D">
            <w:pPr>
              <w:pStyle w:val="178"/>
              <w:rPr>
                <w:rFonts w:ascii="Times New Roman" w:eastAsia="宋体" w:cs="Times New Roman"/>
                <w:spacing w:val="11"/>
              </w:rPr>
            </w:pPr>
          </w:p>
        </w:tc>
        <w:tc>
          <w:tcPr>
            <w:tcW w:w="540" w:type="dxa"/>
            <w:vMerge w:val="continue"/>
            <w:tcBorders>
              <w:top w:val="nil"/>
              <w:bottom w:val="single" w:color="000000" w:sz="6" w:space="0"/>
            </w:tcBorders>
            <w:vAlign w:val="center"/>
          </w:tcPr>
          <w:p w14:paraId="32A495F4">
            <w:pPr>
              <w:pStyle w:val="178"/>
              <w:rPr>
                <w:rFonts w:ascii="Times New Roman" w:eastAsia="宋体" w:cs="Times New Roman"/>
                <w:spacing w:val="11"/>
              </w:rPr>
            </w:pPr>
          </w:p>
        </w:tc>
        <w:tc>
          <w:tcPr>
            <w:tcW w:w="540" w:type="dxa"/>
            <w:vMerge w:val="continue"/>
            <w:tcBorders>
              <w:top w:val="nil"/>
              <w:bottom w:val="single" w:color="000000" w:sz="6" w:space="0"/>
            </w:tcBorders>
            <w:vAlign w:val="center"/>
          </w:tcPr>
          <w:p w14:paraId="1BB6F508">
            <w:pPr>
              <w:pStyle w:val="178"/>
              <w:rPr>
                <w:rFonts w:ascii="Times New Roman" w:eastAsia="宋体" w:cs="Times New Roman"/>
                <w:spacing w:val="11"/>
              </w:rPr>
            </w:pPr>
          </w:p>
        </w:tc>
        <w:tc>
          <w:tcPr>
            <w:tcW w:w="540" w:type="dxa"/>
            <w:tcBorders>
              <w:bottom w:val="single" w:color="000000" w:sz="6" w:space="0"/>
            </w:tcBorders>
            <w:vAlign w:val="center"/>
          </w:tcPr>
          <w:p w14:paraId="1DE23E84">
            <w:pPr>
              <w:pStyle w:val="178"/>
              <w:rPr>
                <w:rFonts w:ascii="Times New Roman" w:eastAsia="宋体" w:cs="Times New Roman"/>
                <w:spacing w:val="11"/>
              </w:rPr>
            </w:pPr>
            <w:r>
              <w:rPr>
                <w:rFonts w:ascii="Times New Roman" w:eastAsia="宋体" w:cs="Times New Roman"/>
                <w:spacing w:val="11"/>
              </w:rPr>
              <w:t>局部影响</w:t>
            </w:r>
          </w:p>
        </w:tc>
        <w:tc>
          <w:tcPr>
            <w:tcW w:w="541" w:type="dxa"/>
            <w:tcBorders>
              <w:bottom w:val="single" w:color="000000" w:sz="6" w:space="0"/>
            </w:tcBorders>
            <w:vAlign w:val="center"/>
          </w:tcPr>
          <w:p w14:paraId="2C6C5866">
            <w:pPr>
              <w:pStyle w:val="178"/>
              <w:rPr>
                <w:rFonts w:ascii="Times New Roman" w:eastAsia="宋体" w:cs="Times New Roman"/>
                <w:spacing w:val="11"/>
              </w:rPr>
            </w:pPr>
            <w:r>
              <w:rPr>
                <w:rFonts w:ascii="Times New Roman" w:eastAsia="宋体" w:cs="Times New Roman"/>
                <w:spacing w:val="11"/>
              </w:rPr>
              <w:t>最终影响</w:t>
            </w:r>
          </w:p>
        </w:tc>
        <w:tc>
          <w:tcPr>
            <w:tcW w:w="450" w:type="dxa"/>
            <w:tcBorders>
              <w:bottom w:val="single" w:color="000000" w:sz="6" w:space="0"/>
            </w:tcBorders>
            <w:vAlign w:val="center"/>
          </w:tcPr>
          <w:p w14:paraId="07DFF535">
            <w:pPr>
              <w:pStyle w:val="178"/>
              <w:rPr>
                <w:rFonts w:ascii="Times New Roman" w:eastAsia="宋体" w:cs="Times New Roman"/>
                <w:spacing w:val="11"/>
              </w:rPr>
            </w:pPr>
            <w:r>
              <w:rPr>
                <w:rFonts w:hint="eastAsia" w:ascii="宋体" w:hAnsi="宋体"/>
                <w:highlight w:val="none"/>
              </w:rPr>
              <w:t>现有</w:t>
            </w:r>
            <w:r>
              <w:rPr>
                <w:rFonts w:hint="eastAsia" w:hAnsi="宋体"/>
                <w:highlight w:val="none"/>
                <w:lang w:val="en-US" w:eastAsia="zh-CN"/>
              </w:rPr>
              <w:t>预防</w:t>
            </w:r>
            <w:r>
              <w:rPr>
                <w:rFonts w:hint="eastAsia" w:ascii="宋体" w:hAnsi="宋体"/>
                <w:highlight w:val="none"/>
              </w:rPr>
              <w:t>措施</w:t>
            </w:r>
          </w:p>
        </w:tc>
        <w:tc>
          <w:tcPr>
            <w:tcW w:w="451" w:type="dxa"/>
            <w:tcBorders>
              <w:bottom w:val="single" w:color="000000" w:sz="6" w:space="0"/>
            </w:tcBorders>
            <w:vAlign w:val="center"/>
          </w:tcPr>
          <w:p w14:paraId="3A839192">
            <w:pPr>
              <w:pStyle w:val="178"/>
              <w:rPr>
                <w:rFonts w:hint="default" w:ascii="Times New Roman" w:eastAsia="宋体" w:cs="Times New Roman"/>
                <w:spacing w:val="11"/>
                <w:lang w:val="en-US" w:eastAsia="zh-CN"/>
              </w:rPr>
            </w:pPr>
            <w:r>
              <w:rPr>
                <w:rFonts w:hint="eastAsia" w:ascii="Times New Roman" w:cs="Times New Roman"/>
                <w:spacing w:val="11"/>
                <w:lang w:val="en-US" w:eastAsia="zh-CN"/>
              </w:rPr>
              <w:t>现有探测措施</w:t>
            </w:r>
          </w:p>
        </w:tc>
        <w:tc>
          <w:tcPr>
            <w:tcW w:w="450" w:type="dxa"/>
            <w:tcBorders>
              <w:bottom w:val="single" w:color="000000" w:sz="6" w:space="0"/>
            </w:tcBorders>
            <w:shd w:val="clear" w:color="auto" w:fill="auto"/>
            <w:vAlign w:val="center"/>
          </w:tcPr>
          <w:p w14:paraId="25391093">
            <w:pPr>
              <w:pStyle w:val="178"/>
              <w:ind w:firstLine="0" w:firstLineChars="0"/>
              <w:rPr>
                <w:rFonts w:ascii="Times New Roman" w:hAnsi="Times New Roman" w:eastAsia="宋体" w:cs="Times New Roman"/>
                <w:spacing w:val="11"/>
                <w:sz w:val="18"/>
                <w:lang w:val="en-US" w:eastAsia="zh-CN" w:bidi="ar-SA"/>
              </w:rPr>
            </w:pPr>
            <w:r>
              <w:rPr>
                <w:rFonts w:hint="eastAsia" w:ascii="Times New Roman" w:cs="Times New Roman"/>
                <w:spacing w:val="11"/>
                <w:lang w:eastAsia="zh-CN"/>
              </w:rPr>
              <w:t>严重度</w:t>
            </w:r>
            <w:r>
              <w:rPr>
                <w:rFonts w:ascii="Times New Roman" w:eastAsia="宋体" w:cs="Times New Roman"/>
                <w:spacing w:val="11"/>
              </w:rPr>
              <w:t>(S)</w:t>
            </w:r>
          </w:p>
        </w:tc>
        <w:tc>
          <w:tcPr>
            <w:tcW w:w="451" w:type="dxa"/>
            <w:tcBorders>
              <w:bottom w:val="single" w:color="000000" w:sz="6" w:space="0"/>
            </w:tcBorders>
            <w:shd w:val="clear" w:color="auto" w:fill="auto"/>
            <w:vAlign w:val="center"/>
          </w:tcPr>
          <w:p w14:paraId="07B78F1D">
            <w:pPr>
              <w:pStyle w:val="178"/>
              <w:ind w:firstLine="0" w:firstLineChars="0"/>
              <w:rPr>
                <w:rFonts w:ascii="Times New Roman" w:hAnsi="Times New Roman" w:eastAsia="宋体" w:cs="Times New Roman"/>
                <w:spacing w:val="11"/>
                <w:sz w:val="18"/>
                <w:lang w:val="en-US" w:eastAsia="zh-CN" w:bidi="ar-SA"/>
              </w:rPr>
            </w:pPr>
            <w:r>
              <w:rPr>
                <w:rFonts w:ascii="Times New Roman" w:eastAsia="宋体" w:cs="Times New Roman"/>
                <w:spacing w:val="11"/>
              </w:rPr>
              <w:t>发生概率(O)</w:t>
            </w:r>
          </w:p>
        </w:tc>
        <w:tc>
          <w:tcPr>
            <w:tcW w:w="901" w:type="dxa"/>
            <w:tcBorders>
              <w:bottom w:val="single" w:color="000000" w:sz="6" w:space="0"/>
            </w:tcBorders>
            <w:vAlign w:val="center"/>
          </w:tcPr>
          <w:p w14:paraId="6D6A7C6C">
            <w:pPr>
              <w:pStyle w:val="178"/>
              <w:rPr>
                <w:rFonts w:ascii="Times New Roman" w:eastAsia="宋体" w:cs="Times New Roman"/>
                <w:spacing w:val="11"/>
              </w:rPr>
            </w:pPr>
            <w:r>
              <w:rPr>
                <w:rFonts w:ascii="Times New Roman" w:eastAsia="宋体" w:cs="Times New Roman"/>
                <w:spacing w:val="11"/>
              </w:rPr>
              <w:t>可探测度(D)</w:t>
            </w:r>
          </w:p>
        </w:tc>
        <w:tc>
          <w:tcPr>
            <w:tcW w:w="901" w:type="dxa"/>
            <w:tcBorders>
              <w:bottom w:val="single" w:color="000000" w:sz="6" w:space="0"/>
            </w:tcBorders>
            <w:vAlign w:val="center"/>
          </w:tcPr>
          <w:p w14:paraId="27EDDBB0">
            <w:pPr>
              <w:pStyle w:val="178"/>
              <w:rPr>
                <w:rFonts w:ascii="Times New Roman" w:eastAsia="宋体" w:cs="Times New Roman"/>
                <w:spacing w:val="11"/>
              </w:rPr>
            </w:pPr>
            <w:r>
              <w:rPr>
                <w:rFonts w:ascii="Times New Roman" w:eastAsia="宋体" w:cs="Times New Roman"/>
                <w:spacing w:val="11"/>
              </w:rPr>
              <w:t>风险评价指数</w:t>
            </w:r>
          </w:p>
          <w:p w14:paraId="7D87B470">
            <w:pPr>
              <w:pStyle w:val="178"/>
              <w:rPr>
                <w:rFonts w:ascii="Times New Roman" w:eastAsia="宋体" w:cs="Times New Roman"/>
                <w:spacing w:val="11"/>
              </w:rPr>
            </w:pPr>
            <w:r>
              <w:rPr>
                <w:rFonts w:ascii="Times New Roman" w:eastAsia="宋体" w:cs="Times New Roman"/>
                <w:spacing w:val="11"/>
              </w:rPr>
              <w:t>(RPN)</w:t>
            </w:r>
          </w:p>
        </w:tc>
        <w:tc>
          <w:tcPr>
            <w:tcW w:w="901" w:type="dxa"/>
            <w:tcBorders>
              <w:bottom w:val="single" w:color="000000" w:sz="6" w:space="0"/>
            </w:tcBorders>
            <w:vAlign w:val="center"/>
          </w:tcPr>
          <w:p w14:paraId="6036F07E">
            <w:pPr>
              <w:pStyle w:val="178"/>
              <w:rPr>
                <w:rFonts w:ascii="Times New Roman" w:eastAsia="宋体" w:cs="Times New Roman"/>
                <w:spacing w:val="11"/>
              </w:rPr>
            </w:pPr>
            <w:r>
              <w:rPr>
                <w:rFonts w:ascii="Times New Roman" w:eastAsia="宋体" w:cs="Times New Roman"/>
                <w:spacing w:val="11"/>
              </w:rPr>
              <w:t>失效</w:t>
            </w:r>
            <w:r>
              <w:rPr>
                <w:rFonts w:hint="eastAsia" w:ascii="Times New Roman" w:cs="Times New Roman"/>
                <w:spacing w:val="11"/>
                <w:lang w:val="en-US" w:eastAsia="zh-CN"/>
              </w:rPr>
              <w:t>探测</w:t>
            </w:r>
            <w:r>
              <w:rPr>
                <w:rFonts w:ascii="Times New Roman" w:eastAsia="宋体" w:cs="Times New Roman"/>
                <w:spacing w:val="11"/>
              </w:rPr>
              <w:t>措施</w:t>
            </w:r>
          </w:p>
        </w:tc>
        <w:tc>
          <w:tcPr>
            <w:tcW w:w="901" w:type="dxa"/>
            <w:tcBorders>
              <w:bottom w:val="single" w:color="000000" w:sz="6" w:space="0"/>
            </w:tcBorders>
            <w:vAlign w:val="center"/>
          </w:tcPr>
          <w:p w14:paraId="5AC7C3C3">
            <w:pPr>
              <w:pStyle w:val="178"/>
              <w:rPr>
                <w:rFonts w:ascii="Times New Roman" w:eastAsia="宋体" w:cs="Times New Roman"/>
                <w:spacing w:val="11"/>
              </w:rPr>
            </w:pPr>
            <w:r>
              <w:rPr>
                <w:rFonts w:ascii="Times New Roman" w:eastAsia="宋体" w:cs="Times New Roman"/>
                <w:spacing w:val="11"/>
              </w:rPr>
              <w:t>补偿措施</w:t>
            </w:r>
          </w:p>
        </w:tc>
        <w:tc>
          <w:tcPr>
            <w:tcW w:w="901" w:type="dxa"/>
            <w:tcBorders>
              <w:bottom w:val="single" w:color="000000" w:sz="6" w:space="0"/>
            </w:tcBorders>
            <w:vAlign w:val="center"/>
          </w:tcPr>
          <w:p w14:paraId="68294D39">
            <w:pPr>
              <w:pStyle w:val="178"/>
              <w:rPr>
                <w:rFonts w:ascii="Times New Roman" w:eastAsia="宋体" w:cs="Times New Roman"/>
                <w:spacing w:val="11"/>
              </w:rPr>
            </w:pPr>
            <w:r>
              <w:rPr>
                <w:rFonts w:hint="eastAsia" w:ascii="Times New Roman" w:cs="Times New Roman"/>
                <w:spacing w:val="11"/>
                <w:lang w:eastAsia="zh-CN"/>
              </w:rPr>
              <w:t>严重度</w:t>
            </w:r>
            <w:r>
              <w:rPr>
                <w:rFonts w:ascii="Times New Roman" w:eastAsia="宋体" w:cs="Times New Roman"/>
                <w:spacing w:val="11"/>
              </w:rPr>
              <w:t>(S)</w:t>
            </w:r>
          </w:p>
        </w:tc>
        <w:tc>
          <w:tcPr>
            <w:tcW w:w="901" w:type="dxa"/>
            <w:tcBorders>
              <w:bottom w:val="single" w:color="000000" w:sz="6" w:space="0"/>
            </w:tcBorders>
            <w:vAlign w:val="center"/>
          </w:tcPr>
          <w:p w14:paraId="1585C12B">
            <w:pPr>
              <w:pStyle w:val="178"/>
              <w:rPr>
                <w:rFonts w:ascii="Times New Roman" w:eastAsia="宋体" w:cs="Times New Roman"/>
                <w:spacing w:val="11"/>
              </w:rPr>
            </w:pPr>
            <w:r>
              <w:rPr>
                <w:rFonts w:ascii="Times New Roman" w:eastAsia="宋体" w:cs="Times New Roman"/>
                <w:spacing w:val="11"/>
              </w:rPr>
              <w:t>发生概率(O)</w:t>
            </w:r>
          </w:p>
        </w:tc>
        <w:tc>
          <w:tcPr>
            <w:tcW w:w="901" w:type="dxa"/>
            <w:tcBorders>
              <w:bottom w:val="single" w:color="000000" w:sz="6" w:space="0"/>
            </w:tcBorders>
            <w:vAlign w:val="center"/>
          </w:tcPr>
          <w:p w14:paraId="45AC6D9E">
            <w:pPr>
              <w:pStyle w:val="178"/>
              <w:rPr>
                <w:rFonts w:ascii="Times New Roman" w:eastAsia="宋体" w:cs="Times New Roman"/>
                <w:spacing w:val="11"/>
              </w:rPr>
            </w:pPr>
            <w:r>
              <w:rPr>
                <w:rFonts w:ascii="Times New Roman" w:eastAsia="宋体" w:cs="Times New Roman"/>
                <w:spacing w:val="11"/>
              </w:rPr>
              <w:t>可探测度</w:t>
            </w:r>
          </w:p>
          <w:p w14:paraId="50FDDE21">
            <w:pPr>
              <w:pStyle w:val="178"/>
              <w:rPr>
                <w:rFonts w:ascii="Times New Roman" w:eastAsia="宋体" w:cs="Times New Roman"/>
                <w:spacing w:val="11"/>
              </w:rPr>
            </w:pPr>
            <w:r>
              <w:rPr>
                <w:rFonts w:ascii="Times New Roman" w:eastAsia="宋体" w:cs="Times New Roman"/>
                <w:spacing w:val="11"/>
              </w:rPr>
              <w:t>(D)</w:t>
            </w:r>
          </w:p>
        </w:tc>
        <w:tc>
          <w:tcPr>
            <w:tcW w:w="901" w:type="dxa"/>
            <w:tcBorders>
              <w:bottom w:val="single" w:color="000000" w:sz="6" w:space="0"/>
            </w:tcBorders>
            <w:vAlign w:val="center"/>
          </w:tcPr>
          <w:p w14:paraId="45B69BC2">
            <w:pPr>
              <w:pStyle w:val="178"/>
              <w:rPr>
                <w:rFonts w:ascii="Times New Roman" w:eastAsia="宋体" w:cs="Times New Roman"/>
                <w:spacing w:val="11"/>
              </w:rPr>
            </w:pPr>
            <w:r>
              <w:rPr>
                <w:rFonts w:ascii="Times New Roman" w:eastAsia="宋体" w:cs="Times New Roman"/>
                <w:spacing w:val="11"/>
              </w:rPr>
              <w:t>风险评价指数(RPN)</w:t>
            </w:r>
          </w:p>
        </w:tc>
        <w:tc>
          <w:tcPr>
            <w:tcW w:w="571" w:type="dxa"/>
            <w:vMerge w:val="continue"/>
            <w:tcBorders>
              <w:top w:val="nil"/>
              <w:bottom w:val="single" w:color="000000" w:sz="6" w:space="0"/>
              <w:right w:val="single" w:color="000000" w:sz="6" w:space="0"/>
            </w:tcBorders>
            <w:vAlign w:val="center"/>
          </w:tcPr>
          <w:p w14:paraId="1DEB10F1">
            <w:pPr>
              <w:pStyle w:val="178"/>
              <w:rPr>
                <w:rFonts w:ascii="Times New Roman" w:eastAsia="宋体" w:cs="Times New Roman"/>
                <w:spacing w:val="11"/>
              </w:rPr>
            </w:pPr>
          </w:p>
        </w:tc>
      </w:tr>
      <w:tr w14:paraId="48C0C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48" w:type="dxa"/>
            <w:tcBorders>
              <w:top w:val="single" w:color="000000" w:sz="6" w:space="0"/>
              <w:left w:val="single" w:color="000000" w:sz="6" w:space="0"/>
            </w:tcBorders>
            <w:vAlign w:val="center"/>
          </w:tcPr>
          <w:p w14:paraId="0F45D8A9">
            <w:pPr>
              <w:pStyle w:val="178"/>
              <w:rPr>
                <w:rFonts w:ascii="Times New Roman" w:eastAsia="宋体" w:cs="Times New Roman"/>
                <w:spacing w:val="11"/>
              </w:rPr>
            </w:pPr>
            <w:r>
              <w:rPr>
                <w:rFonts w:ascii="Times New Roman" w:eastAsia="宋体" w:cs="Times New Roman"/>
                <w:spacing w:val="11"/>
              </w:rPr>
              <w:t>1</w:t>
            </w:r>
          </w:p>
        </w:tc>
        <w:tc>
          <w:tcPr>
            <w:tcW w:w="540" w:type="dxa"/>
            <w:tcBorders>
              <w:top w:val="single" w:color="000000" w:sz="6" w:space="0"/>
            </w:tcBorders>
            <w:vAlign w:val="center"/>
          </w:tcPr>
          <w:p w14:paraId="1860EF62">
            <w:pPr>
              <w:pStyle w:val="178"/>
              <w:rPr>
                <w:rFonts w:ascii="Times New Roman" w:eastAsia="宋体" w:cs="Times New Roman"/>
                <w:spacing w:val="11"/>
              </w:rPr>
            </w:pPr>
          </w:p>
        </w:tc>
        <w:tc>
          <w:tcPr>
            <w:tcW w:w="540" w:type="dxa"/>
            <w:tcBorders>
              <w:top w:val="single" w:color="000000" w:sz="6" w:space="0"/>
            </w:tcBorders>
            <w:vAlign w:val="center"/>
          </w:tcPr>
          <w:p w14:paraId="60D025F2">
            <w:pPr>
              <w:pStyle w:val="178"/>
              <w:rPr>
                <w:rFonts w:ascii="Times New Roman" w:eastAsia="宋体" w:cs="Times New Roman"/>
                <w:spacing w:val="11"/>
              </w:rPr>
            </w:pPr>
          </w:p>
        </w:tc>
        <w:tc>
          <w:tcPr>
            <w:tcW w:w="540" w:type="dxa"/>
            <w:tcBorders>
              <w:top w:val="single" w:color="000000" w:sz="6" w:space="0"/>
            </w:tcBorders>
            <w:vAlign w:val="center"/>
          </w:tcPr>
          <w:p w14:paraId="4125C3E3">
            <w:pPr>
              <w:pStyle w:val="178"/>
              <w:rPr>
                <w:rFonts w:ascii="Times New Roman" w:eastAsia="宋体" w:cs="Times New Roman"/>
                <w:spacing w:val="11"/>
              </w:rPr>
            </w:pPr>
          </w:p>
        </w:tc>
        <w:tc>
          <w:tcPr>
            <w:tcW w:w="540" w:type="dxa"/>
            <w:tcBorders>
              <w:top w:val="single" w:color="000000" w:sz="6" w:space="0"/>
            </w:tcBorders>
            <w:vAlign w:val="center"/>
          </w:tcPr>
          <w:p w14:paraId="0CEDD5B2">
            <w:pPr>
              <w:pStyle w:val="178"/>
              <w:rPr>
                <w:rFonts w:ascii="Times New Roman" w:eastAsia="宋体" w:cs="Times New Roman"/>
                <w:spacing w:val="11"/>
              </w:rPr>
            </w:pPr>
          </w:p>
        </w:tc>
        <w:tc>
          <w:tcPr>
            <w:tcW w:w="540" w:type="dxa"/>
            <w:tcBorders>
              <w:top w:val="single" w:color="000000" w:sz="6" w:space="0"/>
            </w:tcBorders>
            <w:vAlign w:val="center"/>
          </w:tcPr>
          <w:p w14:paraId="7981BA7B">
            <w:pPr>
              <w:pStyle w:val="178"/>
              <w:rPr>
                <w:rFonts w:ascii="Times New Roman" w:eastAsia="宋体" w:cs="Times New Roman"/>
                <w:spacing w:val="11"/>
              </w:rPr>
            </w:pPr>
          </w:p>
        </w:tc>
        <w:tc>
          <w:tcPr>
            <w:tcW w:w="541" w:type="dxa"/>
            <w:tcBorders>
              <w:top w:val="single" w:color="000000" w:sz="6" w:space="0"/>
            </w:tcBorders>
            <w:vAlign w:val="center"/>
          </w:tcPr>
          <w:p w14:paraId="52C27D96">
            <w:pPr>
              <w:pStyle w:val="178"/>
              <w:rPr>
                <w:rFonts w:ascii="Times New Roman" w:eastAsia="宋体" w:cs="Times New Roman"/>
                <w:spacing w:val="11"/>
              </w:rPr>
            </w:pPr>
          </w:p>
        </w:tc>
        <w:tc>
          <w:tcPr>
            <w:tcW w:w="450" w:type="dxa"/>
            <w:tcBorders>
              <w:top w:val="single" w:color="000000" w:sz="6" w:space="0"/>
            </w:tcBorders>
            <w:vAlign w:val="center"/>
          </w:tcPr>
          <w:p w14:paraId="66A11F92">
            <w:pPr>
              <w:pStyle w:val="178"/>
              <w:rPr>
                <w:rFonts w:ascii="Times New Roman" w:eastAsia="宋体" w:cs="Times New Roman"/>
                <w:spacing w:val="11"/>
              </w:rPr>
            </w:pPr>
          </w:p>
        </w:tc>
        <w:tc>
          <w:tcPr>
            <w:tcW w:w="451" w:type="dxa"/>
            <w:tcBorders>
              <w:top w:val="single" w:color="000000" w:sz="6" w:space="0"/>
            </w:tcBorders>
            <w:vAlign w:val="center"/>
          </w:tcPr>
          <w:p w14:paraId="147CDDA4">
            <w:pPr>
              <w:pStyle w:val="178"/>
              <w:rPr>
                <w:rFonts w:ascii="Times New Roman" w:eastAsia="宋体" w:cs="Times New Roman"/>
                <w:spacing w:val="11"/>
              </w:rPr>
            </w:pPr>
          </w:p>
        </w:tc>
        <w:tc>
          <w:tcPr>
            <w:tcW w:w="901" w:type="dxa"/>
            <w:gridSpan w:val="2"/>
            <w:tcBorders>
              <w:top w:val="single" w:color="000000" w:sz="6" w:space="0"/>
            </w:tcBorders>
            <w:vAlign w:val="center"/>
          </w:tcPr>
          <w:p w14:paraId="65B45C41">
            <w:pPr>
              <w:pStyle w:val="178"/>
              <w:rPr>
                <w:rFonts w:ascii="Times New Roman" w:eastAsia="宋体" w:cs="Times New Roman"/>
                <w:spacing w:val="11"/>
              </w:rPr>
            </w:pPr>
          </w:p>
        </w:tc>
        <w:tc>
          <w:tcPr>
            <w:tcW w:w="901" w:type="dxa"/>
            <w:tcBorders>
              <w:top w:val="single" w:color="000000" w:sz="6" w:space="0"/>
            </w:tcBorders>
            <w:vAlign w:val="center"/>
          </w:tcPr>
          <w:p w14:paraId="1DCDDFDA">
            <w:pPr>
              <w:pStyle w:val="178"/>
              <w:rPr>
                <w:rFonts w:ascii="Times New Roman" w:eastAsia="宋体" w:cs="Times New Roman"/>
                <w:spacing w:val="11"/>
              </w:rPr>
            </w:pPr>
          </w:p>
        </w:tc>
        <w:tc>
          <w:tcPr>
            <w:tcW w:w="901" w:type="dxa"/>
            <w:tcBorders>
              <w:top w:val="single" w:color="000000" w:sz="6" w:space="0"/>
            </w:tcBorders>
            <w:vAlign w:val="center"/>
          </w:tcPr>
          <w:p w14:paraId="7E6DCEC0">
            <w:pPr>
              <w:pStyle w:val="178"/>
              <w:rPr>
                <w:rFonts w:ascii="Times New Roman" w:eastAsia="宋体" w:cs="Times New Roman"/>
                <w:spacing w:val="11"/>
              </w:rPr>
            </w:pPr>
          </w:p>
        </w:tc>
        <w:tc>
          <w:tcPr>
            <w:tcW w:w="901" w:type="dxa"/>
            <w:tcBorders>
              <w:top w:val="single" w:color="000000" w:sz="6" w:space="0"/>
            </w:tcBorders>
            <w:vAlign w:val="center"/>
          </w:tcPr>
          <w:p w14:paraId="62B16F0A">
            <w:pPr>
              <w:pStyle w:val="178"/>
              <w:rPr>
                <w:rFonts w:ascii="Times New Roman" w:eastAsia="宋体" w:cs="Times New Roman"/>
                <w:spacing w:val="11"/>
              </w:rPr>
            </w:pPr>
          </w:p>
        </w:tc>
        <w:tc>
          <w:tcPr>
            <w:tcW w:w="901" w:type="dxa"/>
            <w:tcBorders>
              <w:top w:val="single" w:color="000000" w:sz="6" w:space="0"/>
            </w:tcBorders>
            <w:vAlign w:val="center"/>
          </w:tcPr>
          <w:p w14:paraId="2D0BAED2">
            <w:pPr>
              <w:pStyle w:val="178"/>
              <w:rPr>
                <w:rFonts w:ascii="Times New Roman" w:eastAsia="宋体" w:cs="Times New Roman"/>
                <w:spacing w:val="11"/>
              </w:rPr>
            </w:pPr>
          </w:p>
        </w:tc>
        <w:tc>
          <w:tcPr>
            <w:tcW w:w="901" w:type="dxa"/>
            <w:tcBorders>
              <w:top w:val="single" w:color="000000" w:sz="6" w:space="0"/>
            </w:tcBorders>
            <w:vAlign w:val="center"/>
          </w:tcPr>
          <w:p w14:paraId="53E6E8CE">
            <w:pPr>
              <w:pStyle w:val="178"/>
              <w:rPr>
                <w:rFonts w:ascii="Times New Roman" w:eastAsia="宋体" w:cs="Times New Roman"/>
                <w:spacing w:val="11"/>
              </w:rPr>
            </w:pPr>
          </w:p>
        </w:tc>
        <w:tc>
          <w:tcPr>
            <w:tcW w:w="901" w:type="dxa"/>
            <w:tcBorders>
              <w:top w:val="single" w:color="000000" w:sz="6" w:space="0"/>
            </w:tcBorders>
            <w:vAlign w:val="center"/>
          </w:tcPr>
          <w:p w14:paraId="3CC736D5">
            <w:pPr>
              <w:pStyle w:val="178"/>
              <w:rPr>
                <w:rFonts w:ascii="Times New Roman" w:eastAsia="宋体" w:cs="Times New Roman"/>
                <w:spacing w:val="11"/>
              </w:rPr>
            </w:pPr>
          </w:p>
        </w:tc>
        <w:tc>
          <w:tcPr>
            <w:tcW w:w="901" w:type="dxa"/>
            <w:tcBorders>
              <w:top w:val="single" w:color="000000" w:sz="6" w:space="0"/>
            </w:tcBorders>
            <w:vAlign w:val="center"/>
          </w:tcPr>
          <w:p w14:paraId="782D809C">
            <w:pPr>
              <w:pStyle w:val="178"/>
              <w:rPr>
                <w:rFonts w:ascii="Times New Roman" w:eastAsia="宋体" w:cs="Times New Roman"/>
                <w:spacing w:val="11"/>
              </w:rPr>
            </w:pPr>
          </w:p>
        </w:tc>
        <w:tc>
          <w:tcPr>
            <w:tcW w:w="901" w:type="dxa"/>
            <w:tcBorders>
              <w:top w:val="single" w:color="000000" w:sz="6" w:space="0"/>
            </w:tcBorders>
            <w:vAlign w:val="center"/>
          </w:tcPr>
          <w:p w14:paraId="5D5D29A1">
            <w:pPr>
              <w:pStyle w:val="178"/>
              <w:rPr>
                <w:rFonts w:ascii="Times New Roman" w:eastAsia="宋体" w:cs="Times New Roman"/>
                <w:spacing w:val="11"/>
              </w:rPr>
            </w:pPr>
          </w:p>
        </w:tc>
        <w:tc>
          <w:tcPr>
            <w:tcW w:w="571" w:type="dxa"/>
            <w:tcBorders>
              <w:top w:val="single" w:color="000000" w:sz="6" w:space="0"/>
              <w:right w:val="single" w:color="000000" w:sz="6" w:space="0"/>
            </w:tcBorders>
            <w:vAlign w:val="center"/>
          </w:tcPr>
          <w:p w14:paraId="07B95D6E">
            <w:pPr>
              <w:pStyle w:val="178"/>
              <w:rPr>
                <w:rFonts w:ascii="Times New Roman" w:eastAsia="宋体" w:cs="Times New Roman"/>
                <w:spacing w:val="11"/>
              </w:rPr>
            </w:pPr>
          </w:p>
        </w:tc>
      </w:tr>
      <w:tr w14:paraId="5BE57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48" w:type="dxa"/>
            <w:tcBorders>
              <w:left w:val="single" w:color="000000" w:sz="6" w:space="0"/>
            </w:tcBorders>
            <w:vAlign w:val="center"/>
          </w:tcPr>
          <w:p w14:paraId="0F9BB050">
            <w:pPr>
              <w:pStyle w:val="178"/>
              <w:rPr>
                <w:rFonts w:ascii="Times New Roman" w:eastAsia="宋体" w:cs="Times New Roman"/>
                <w:spacing w:val="11"/>
              </w:rPr>
            </w:pPr>
            <w:r>
              <w:rPr>
                <w:rFonts w:ascii="Times New Roman" w:eastAsia="宋体" w:cs="Times New Roman"/>
                <w:spacing w:val="11"/>
              </w:rPr>
              <w:t>2</w:t>
            </w:r>
          </w:p>
        </w:tc>
        <w:tc>
          <w:tcPr>
            <w:tcW w:w="540" w:type="dxa"/>
            <w:vAlign w:val="center"/>
          </w:tcPr>
          <w:p w14:paraId="3F2428AF">
            <w:pPr>
              <w:pStyle w:val="178"/>
              <w:rPr>
                <w:rFonts w:ascii="Times New Roman" w:eastAsia="宋体" w:cs="Times New Roman"/>
                <w:spacing w:val="11"/>
              </w:rPr>
            </w:pPr>
          </w:p>
        </w:tc>
        <w:tc>
          <w:tcPr>
            <w:tcW w:w="540" w:type="dxa"/>
            <w:vAlign w:val="center"/>
          </w:tcPr>
          <w:p w14:paraId="4B03943C">
            <w:pPr>
              <w:pStyle w:val="178"/>
              <w:rPr>
                <w:rFonts w:ascii="Times New Roman" w:eastAsia="宋体" w:cs="Times New Roman"/>
                <w:spacing w:val="11"/>
              </w:rPr>
            </w:pPr>
          </w:p>
        </w:tc>
        <w:tc>
          <w:tcPr>
            <w:tcW w:w="540" w:type="dxa"/>
            <w:vAlign w:val="center"/>
          </w:tcPr>
          <w:p w14:paraId="5B53A898">
            <w:pPr>
              <w:pStyle w:val="178"/>
              <w:rPr>
                <w:rFonts w:ascii="Times New Roman" w:eastAsia="宋体" w:cs="Times New Roman"/>
                <w:spacing w:val="11"/>
              </w:rPr>
            </w:pPr>
          </w:p>
        </w:tc>
        <w:tc>
          <w:tcPr>
            <w:tcW w:w="540" w:type="dxa"/>
            <w:vAlign w:val="center"/>
          </w:tcPr>
          <w:p w14:paraId="2EF9606D">
            <w:pPr>
              <w:pStyle w:val="178"/>
              <w:rPr>
                <w:rFonts w:ascii="Times New Roman" w:eastAsia="宋体" w:cs="Times New Roman"/>
                <w:spacing w:val="11"/>
              </w:rPr>
            </w:pPr>
          </w:p>
        </w:tc>
        <w:tc>
          <w:tcPr>
            <w:tcW w:w="540" w:type="dxa"/>
            <w:vAlign w:val="center"/>
          </w:tcPr>
          <w:p w14:paraId="60406DD7">
            <w:pPr>
              <w:pStyle w:val="178"/>
              <w:rPr>
                <w:rFonts w:ascii="Times New Roman" w:eastAsia="宋体" w:cs="Times New Roman"/>
                <w:spacing w:val="11"/>
              </w:rPr>
            </w:pPr>
          </w:p>
        </w:tc>
        <w:tc>
          <w:tcPr>
            <w:tcW w:w="541" w:type="dxa"/>
            <w:vAlign w:val="center"/>
          </w:tcPr>
          <w:p w14:paraId="225DDB29">
            <w:pPr>
              <w:pStyle w:val="178"/>
              <w:rPr>
                <w:rFonts w:ascii="Times New Roman" w:eastAsia="宋体" w:cs="Times New Roman"/>
                <w:spacing w:val="11"/>
              </w:rPr>
            </w:pPr>
          </w:p>
        </w:tc>
        <w:tc>
          <w:tcPr>
            <w:tcW w:w="450" w:type="dxa"/>
            <w:vAlign w:val="center"/>
          </w:tcPr>
          <w:p w14:paraId="269BF8F3">
            <w:pPr>
              <w:pStyle w:val="178"/>
              <w:rPr>
                <w:rFonts w:ascii="Times New Roman" w:eastAsia="宋体" w:cs="Times New Roman"/>
                <w:spacing w:val="11"/>
              </w:rPr>
            </w:pPr>
          </w:p>
        </w:tc>
        <w:tc>
          <w:tcPr>
            <w:tcW w:w="451" w:type="dxa"/>
            <w:vAlign w:val="center"/>
          </w:tcPr>
          <w:p w14:paraId="38BA1FAD">
            <w:pPr>
              <w:pStyle w:val="178"/>
              <w:rPr>
                <w:rFonts w:ascii="Times New Roman" w:eastAsia="宋体" w:cs="Times New Roman"/>
                <w:spacing w:val="11"/>
              </w:rPr>
            </w:pPr>
          </w:p>
        </w:tc>
        <w:tc>
          <w:tcPr>
            <w:tcW w:w="901" w:type="dxa"/>
            <w:gridSpan w:val="2"/>
            <w:vAlign w:val="center"/>
          </w:tcPr>
          <w:p w14:paraId="75E6301F">
            <w:pPr>
              <w:pStyle w:val="178"/>
              <w:rPr>
                <w:rFonts w:ascii="Times New Roman" w:eastAsia="宋体" w:cs="Times New Roman"/>
                <w:spacing w:val="11"/>
              </w:rPr>
            </w:pPr>
          </w:p>
        </w:tc>
        <w:tc>
          <w:tcPr>
            <w:tcW w:w="901" w:type="dxa"/>
            <w:vAlign w:val="center"/>
          </w:tcPr>
          <w:p w14:paraId="288DECDB">
            <w:pPr>
              <w:pStyle w:val="178"/>
              <w:rPr>
                <w:rFonts w:ascii="Times New Roman" w:eastAsia="宋体" w:cs="Times New Roman"/>
                <w:spacing w:val="11"/>
              </w:rPr>
            </w:pPr>
          </w:p>
        </w:tc>
        <w:tc>
          <w:tcPr>
            <w:tcW w:w="901" w:type="dxa"/>
            <w:vAlign w:val="center"/>
          </w:tcPr>
          <w:p w14:paraId="23B0C17A">
            <w:pPr>
              <w:pStyle w:val="178"/>
              <w:rPr>
                <w:rFonts w:ascii="Times New Roman" w:eastAsia="宋体" w:cs="Times New Roman"/>
                <w:spacing w:val="11"/>
              </w:rPr>
            </w:pPr>
          </w:p>
        </w:tc>
        <w:tc>
          <w:tcPr>
            <w:tcW w:w="901" w:type="dxa"/>
            <w:vAlign w:val="center"/>
          </w:tcPr>
          <w:p w14:paraId="6B9C5477">
            <w:pPr>
              <w:pStyle w:val="178"/>
              <w:rPr>
                <w:rFonts w:ascii="Times New Roman" w:eastAsia="宋体" w:cs="Times New Roman"/>
                <w:spacing w:val="11"/>
              </w:rPr>
            </w:pPr>
          </w:p>
        </w:tc>
        <w:tc>
          <w:tcPr>
            <w:tcW w:w="901" w:type="dxa"/>
            <w:vAlign w:val="center"/>
          </w:tcPr>
          <w:p w14:paraId="0B8914EE">
            <w:pPr>
              <w:pStyle w:val="178"/>
              <w:rPr>
                <w:rFonts w:ascii="Times New Roman" w:eastAsia="宋体" w:cs="Times New Roman"/>
                <w:spacing w:val="11"/>
              </w:rPr>
            </w:pPr>
          </w:p>
        </w:tc>
        <w:tc>
          <w:tcPr>
            <w:tcW w:w="901" w:type="dxa"/>
            <w:vAlign w:val="center"/>
          </w:tcPr>
          <w:p w14:paraId="13269502">
            <w:pPr>
              <w:pStyle w:val="178"/>
              <w:rPr>
                <w:rFonts w:ascii="Times New Roman" w:eastAsia="宋体" w:cs="Times New Roman"/>
                <w:spacing w:val="11"/>
              </w:rPr>
            </w:pPr>
          </w:p>
        </w:tc>
        <w:tc>
          <w:tcPr>
            <w:tcW w:w="901" w:type="dxa"/>
            <w:vAlign w:val="center"/>
          </w:tcPr>
          <w:p w14:paraId="7AFFB257">
            <w:pPr>
              <w:pStyle w:val="178"/>
              <w:rPr>
                <w:rFonts w:ascii="Times New Roman" w:eastAsia="宋体" w:cs="Times New Roman"/>
                <w:spacing w:val="11"/>
              </w:rPr>
            </w:pPr>
          </w:p>
        </w:tc>
        <w:tc>
          <w:tcPr>
            <w:tcW w:w="901" w:type="dxa"/>
            <w:vAlign w:val="center"/>
          </w:tcPr>
          <w:p w14:paraId="7378F61F">
            <w:pPr>
              <w:pStyle w:val="178"/>
              <w:rPr>
                <w:rFonts w:ascii="Times New Roman" w:eastAsia="宋体" w:cs="Times New Roman"/>
                <w:spacing w:val="11"/>
              </w:rPr>
            </w:pPr>
          </w:p>
        </w:tc>
        <w:tc>
          <w:tcPr>
            <w:tcW w:w="901" w:type="dxa"/>
            <w:vAlign w:val="center"/>
          </w:tcPr>
          <w:p w14:paraId="1DF036D9">
            <w:pPr>
              <w:pStyle w:val="178"/>
              <w:rPr>
                <w:rFonts w:ascii="Times New Roman" w:eastAsia="宋体" w:cs="Times New Roman"/>
                <w:spacing w:val="11"/>
              </w:rPr>
            </w:pPr>
          </w:p>
        </w:tc>
        <w:tc>
          <w:tcPr>
            <w:tcW w:w="571" w:type="dxa"/>
            <w:tcBorders>
              <w:right w:val="single" w:color="000000" w:sz="6" w:space="0"/>
            </w:tcBorders>
            <w:vAlign w:val="center"/>
          </w:tcPr>
          <w:p w14:paraId="2C21ED5D">
            <w:pPr>
              <w:pStyle w:val="178"/>
              <w:rPr>
                <w:rFonts w:ascii="Times New Roman" w:eastAsia="宋体" w:cs="Times New Roman"/>
                <w:spacing w:val="11"/>
              </w:rPr>
            </w:pPr>
          </w:p>
        </w:tc>
      </w:tr>
      <w:tr w14:paraId="128B6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8" w:type="dxa"/>
            <w:tcBorders>
              <w:left w:val="single" w:color="000000" w:sz="6" w:space="0"/>
            </w:tcBorders>
            <w:vAlign w:val="center"/>
          </w:tcPr>
          <w:p w14:paraId="2E357887">
            <w:pPr>
              <w:pStyle w:val="178"/>
              <w:rPr>
                <w:rFonts w:ascii="Times New Roman" w:eastAsia="宋体" w:cs="Times New Roman"/>
                <w:spacing w:val="11"/>
              </w:rPr>
            </w:pPr>
            <w:r>
              <w:rPr>
                <w:rFonts w:ascii="Times New Roman" w:eastAsia="宋体" w:cs="Times New Roman"/>
                <w:spacing w:val="11"/>
              </w:rPr>
              <w:t>3</w:t>
            </w:r>
          </w:p>
        </w:tc>
        <w:tc>
          <w:tcPr>
            <w:tcW w:w="540" w:type="dxa"/>
            <w:vAlign w:val="center"/>
          </w:tcPr>
          <w:p w14:paraId="6BB0AD7F">
            <w:pPr>
              <w:pStyle w:val="178"/>
              <w:rPr>
                <w:rFonts w:ascii="Times New Roman" w:eastAsia="宋体" w:cs="Times New Roman"/>
                <w:spacing w:val="11"/>
              </w:rPr>
            </w:pPr>
          </w:p>
        </w:tc>
        <w:tc>
          <w:tcPr>
            <w:tcW w:w="540" w:type="dxa"/>
            <w:vAlign w:val="center"/>
          </w:tcPr>
          <w:p w14:paraId="7A7715D1">
            <w:pPr>
              <w:pStyle w:val="178"/>
              <w:rPr>
                <w:rFonts w:ascii="Times New Roman" w:eastAsia="宋体" w:cs="Times New Roman"/>
                <w:spacing w:val="11"/>
              </w:rPr>
            </w:pPr>
          </w:p>
        </w:tc>
        <w:tc>
          <w:tcPr>
            <w:tcW w:w="540" w:type="dxa"/>
            <w:vAlign w:val="center"/>
          </w:tcPr>
          <w:p w14:paraId="0ECA7B7A">
            <w:pPr>
              <w:pStyle w:val="178"/>
              <w:rPr>
                <w:rFonts w:ascii="Times New Roman" w:eastAsia="宋体" w:cs="Times New Roman"/>
                <w:spacing w:val="11"/>
              </w:rPr>
            </w:pPr>
          </w:p>
        </w:tc>
        <w:tc>
          <w:tcPr>
            <w:tcW w:w="540" w:type="dxa"/>
            <w:vAlign w:val="center"/>
          </w:tcPr>
          <w:p w14:paraId="6AE9A7FF">
            <w:pPr>
              <w:pStyle w:val="178"/>
              <w:rPr>
                <w:rFonts w:ascii="Times New Roman" w:eastAsia="宋体" w:cs="Times New Roman"/>
                <w:spacing w:val="11"/>
              </w:rPr>
            </w:pPr>
          </w:p>
        </w:tc>
        <w:tc>
          <w:tcPr>
            <w:tcW w:w="540" w:type="dxa"/>
            <w:vAlign w:val="center"/>
          </w:tcPr>
          <w:p w14:paraId="5661A5DE">
            <w:pPr>
              <w:pStyle w:val="178"/>
              <w:rPr>
                <w:rFonts w:ascii="Times New Roman" w:eastAsia="宋体" w:cs="Times New Roman"/>
                <w:spacing w:val="11"/>
              </w:rPr>
            </w:pPr>
          </w:p>
        </w:tc>
        <w:tc>
          <w:tcPr>
            <w:tcW w:w="541" w:type="dxa"/>
            <w:vAlign w:val="center"/>
          </w:tcPr>
          <w:p w14:paraId="4236E664">
            <w:pPr>
              <w:pStyle w:val="178"/>
              <w:rPr>
                <w:rFonts w:ascii="Times New Roman" w:eastAsia="宋体" w:cs="Times New Roman"/>
                <w:spacing w:val="11"/>
              </w:rPr>
            </w:pPr>
          </w:p>
        </w:tc>
        <w:tc>
          <w:tcPr>
            <w:tcW w:w="450" w:type="dxa"/>
            <w:vAlign w:val="center"/>
          </w:tcPr>
          <w:p w14:paraId="64F97506">
            <w:pPr>
              <w:pStyle w:val="178"/>
              <w:rPr>
                <w:rFonts w:ascii="Times New Roman" w:eastAsia="宋体" w:cs="Times New Roman"/>
                <w:spacing w:val="11"/>
              </w:rPr>
            </w:pPr>
          </w:p>
        </w:tc>
        <w:tc>
          <w:tcPr>
            <w:tcW w:w="451" w:type="dxa"/>
            <w:vAlign w:val="center"/>
          </w:tcPr>
          <w:p w14:paraId="3548BC4F">
            <w:pPr>
              <w:pStyle w:val="178"/>
              <w:rPr>
                <w:rFonts w:ascii="Times New Roman" w:eastAsia="宋体" w:cs="Times New Roman"/>
                <w:spacing w:val="11"/>
              </w:rPr>
            </w:pPr>
          </w:p>
        </w:tc>
        <w:tc>
          <w:tcPr>
            <w:tcW w:w="901" w:type="dxa"/>
            <w:gridSpan w:val="2"/>
            <w:vAlign w:val="center"/>
          </w:tcPr>
          <w:p w14:paraId="7B246F16">
            <w:pPr>
              <w:pStyle w:val="178"/>
              <w:rPr>
                <w:rFonts w:ascii="Times New Roman" w:eastAsia="宋体" w:cs="Times New Roman"/>
                <w:spacing w:val="11"/>
              </w:rPr>
            </w:pPr>
          </w:p>
        </w:tc>
        <w:tc>
          <w:tcPr>
            <w:tcW w:w="901" w:type="dxa"/>
            <w:vAlign w:val="center"/>
          </w:tcPr>
          <w:p w14:paraId="0C91E750">
            <w:pPr>
              <w:pStyle w:val="178"/>
              <w:rPr>
                <w:rFonts w:ascii="Times New Roman" w:eastAsia="宋体" w:cs="Times New Roman"/>
                <w:spacing w:val="11"/>
              </w:rPr>
            </w:pPr>
          </w:p>
        </w:tc>
        <w:tc>
          <w:tcPr>
            <w:tcW w:w="901" w:type="dxa"/>
            <w:vAlign w:val="center"/>
          </w:tcPr>
          <w:p w14:paraId="1F0F8AC3">
            <w:pPr>
              <w:pStyle w:val="178"/>
              <w:rPr>
                <w:rFonts w:ascii="Times New Roman" w:eastAsia="宋体" w:cs="Times New Roman"/>
                <w:spacing w:val="11"/>
              </w:rPr>
            </w:pPr>
          </w:p>
        </w:tc>
        <w:tc>
          <w:tcPr>
            <w:tcW w:w="901" w:type="dxa"/>
            <w:vAlign w:val="center"/>
          </w:tcPr>
          <w:p w14:paraId="3BD83C4B">
            <w:pPr>
              <w:pStyle w:val="178"/>
              <w:rPr>
                <w:rFonts w:ascii="Times New Roman" w:eastAsia="宋体" w:cs="Times New Roman"/>
                <w:spacing w:val="11"/>
              </w:rPr>
            </w:pPr>
          </w:p>
        </w:tc>
        <w:tc>
          <w:tcPr>
            <w:tcW w:w="901" w:type="dxa"/>
            <w:vAlign w:val="center"/>
          </w:tcPr>
          <w:p w14:paraId="7E10C52A">
            <w:pPr>
              <w:pStyle w:val="178"/>
              <w:rPr>
                <w:rFonts w:ascii="Times New Roman" w:eastAsia="宋体" w:cs="Times New Roman"/>
                <w:spacing w:val="11"/>
              </w:rPr>
            </w:pPr>
          </w:p>
        </w:tc>
        <w:tc>
          <w:tcPr>
            <w:tcW w:w="901" w:type="dxa"/>
            <w:vAlign w:val="center"/>
          </w:tcPr>
          <w:p w14:paraId="5E28B372">
            <w:pPr>
              <w:pStyle w:val="178"/>
              <w:rPr>
                <w:rFonts w:ascii="Times New Roman" w:eastAsia="宋体" w:cs="Times New Roman"/>
                <w:spacing w:val="11"/>
              </w:rPr>
            </w:pPr>
          </w:p>
        </w:tc>
        <w:tc>
          <w:tcPr>
            <w:tcW w:w="901" w:type="dxa"/>
            <w:vAlign w:val="center"/>
          </w:tcPr>
          <w:p w14:paraId="2FC239A4">
            <w:pPr>
              <w:pStyle w:val="178"/>
              <w:rPr>
                <w:rFonts w:ascii="Times New Roman" w:eastAsia="宋体" w:cs="Times New Roman"/>
                <w:spacing w:val="11"/>
              </w:rPr>
            </w:pPr>
          </w:p>
        </w:tc>
        <w:tc>
          <w:tcPr>
            <w:tcW w:w="901" w:type="dxa"/>
            <w:vAlign w:val="center"/>
          </w:tcPr>
          <w:p w14:paraId="0EF5EDE7">
            <w:pPr>
              <w:pStyle w:val="178"/>
              <w:rPr>
                <w:rFonts w:ascii="Times New Roman" w:eastAsia="宋体" w:cs="Times New Roman"/>
                <w:spacing w:val="11"/>
              </w:rPr>
            </w:pPr>
          </w:p>
        </w:tc>
        <w:tc>
          <w:tcPr>
            <w:tcW w:w="901" w:type="dxa"/>
            <w:vAlign w:val="center"/>
          </w:tcPr>
          <w:p w14:paraId="6A01AD05">
            <w:pPr>
              <w:pStyle w:val="178"/>
              <w:rPr>
                <w:rFonts w:ascii="Times New Roman" w:eastAsia="宋体" w:cs="Times New Roman"/>
                <w:spacing w:val="11"/>
              </w:rPr>
            </w:pPr>
          </w:p>
        </w:tc>
        <w:tc>
          <w:tcPr>
            <w:tcW w:w="571" w:type="dxa"/>
            <w:tcBorders>
              <w:right w:val="single" w:color="000000" w:sz="6" w:space="0"/>
            </w:tcBorders>
            <w:vAlign w:val="center"/>
          </w:tcPr>
          <w:p w14:paraId="0AA429B4">
            <w:pPr>
              <w:pStyle w:val="178"/>
              <w:rPr>
                <w:rFonts w:ascii="Times New Roman" w:eastAsia="宋体" w:cs="Times New Roman"/>
                <w:spacing w:val="11"/>
              </w:rPr>
            </w:pPr>
          </w:p>
        </w:tc>
      </w:tr>
      <w:tr w14:paraId="43EA5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8" w:type="dxa"/>
            <w:tcBorders>
              <w:left w:val="single" w:color="000000" w:sz="6" w:space="0"/>
            </w:tcBorders>
            <w:vAlign w:val="center"/>
          </w:tcPr>
          <w:p w14:paraId="7F727BCF">
            <w:pPr>
              <w:pStyle w:val="178"/>
              <w:rPr>
                <w:rFonts w:ascii="Times New Roman" w:eastAsia="宋体" w:cs="Times New Roman"/>
                <w:spacing w:val="11"/>
              </w:rPr>
            </w:pPr>
            <w:r>
              <w:rPr>
                <w:rFonts w:ascii="Times New Roman" w:eastAsia="宋体" w:cs="Times New Roman"/>
                <w:spacing w:val="11"/>
              </w:rPr>
              <w:t>4</w:t>
            </w:r>
          </w:p>
        </w:tc>
        <w:tc>
          <w:tcPr>
            <w:tcW w:w="540" w:type="dxa"/>
            <w:vAlign w:val="center"/>
          </w:tcPr>
          <w:p w14:paraId="2E28439D">
            <w:pPr>
              <w:pStyle w:val="178"/>
              <w:rPr>
                <w:rFonts w:ascii="Times New Roman" w:eastAsia="宋体" w:cs="Times New Roman"/>
                <w:spacing w:val="11"/>
              </w:rPr>
            </w:pPr>
          </w:p>
        </w:tc>
        <w:tc>
          <w:tcPr>
            <w:tcW w:w="540" w:type="dxa"/>
            <w:vAlign w:val="center"/>
          </w:tcPr>
          <w:p w14:paraId="6E8EAA79">
            <w:pPr>
              <w:pStyle w:val="178"/>
              <w:rPr>
                <w:rFonts w:ascii="Times New Roman" w:eastAsia="宋体" w:cs="Times New Roman"/>
                <w:spacing w:val="11"/>
              </w:rPr>
            </w:pPr>
          </w:p>
        </w:tc>
        <w:tc>
          <w:tcPr>
            <w:tcW w:w="540" w:type="dxa"/>
            <w:vAlign w:val="center"/>
          </w:tcPr>
          <w:p w14:paraId="1FDB6EB2">
            <w:pPr>
              <w:pStyle w:val="178"/>
              <w:rPr>
                <w:rFonts w:ascii="Times New Roman" w:eastAsia="宋体" w:cs="Times New Roman"/>
                <w:spacing w:val="11"/>
              </w:rPr>
            </w:pPr>
          </w:p>
        </w:tc>
        <w:tc>
          <w:tcPr>
            <w:tcW w:w="540" w:type="dxa"/>
            <w:vAlign w:val="center"/>
          </w:tcPr>
          <w:p w14:paraId="320C79BC">
            <w:pPr>
              <w:pStyle w:val="178"/>
              <w:rPr>
                <w:rFonts w:ascii="Times New Roman" w:eastAsia="宋体" w:cs="Times New Roman"/>
                <w:spacing w:val="11"/>
              </w:rPr>
            </w:pPr>
          </w:p>
        </w:tc>
        <w:tc>
          <w:tcPr>
            <w:tcW w:w="540" w:type="dxa"/>
            <w:vAlign w:val="center"/>
          </w:tcPr>
          <w:p w14:paraId="2C1DC5F8">
            <w:pPr>
              <w:pStyle w:val="178"/>
              <w:rPr>
                <w:rFonts w:ascii="Times New Roman" w:eastAsia="宋体" w:cs="Times New Roman"/>
                <w:spacing w:val="11"/>
              </w:rPr>
            </w:pPr>
          </w:p>
        </w:tc>
        <w:tc>
          <w:tcPr>
            <w:tcW w:w="541" w:type="dxa"/>
            <w:vAlign w:val="center"/>
          </w:tcPr>
          <w:p w14:paraId="48720DCE">
            <w:pPr>
              <w:pStyle w:val="178"/>
              <w:rPr>
                <w:rFonts w:ascii="Times New Roman" w:eastAsia="宋体" w:cs="Times New Roman"/>
                <w:spacing w:val="11"/>
              </w:rPr>
            </w:pPr>
          </w:p>
        </w:tc>
        <w:tc>
          <w:tcPr>
            <w:tcW w:w="450" w:type="dxa"/>
            <w:vAlign w:val="center"/>
          </w:tcPr>
          <w:p w14:paraId="21FE2773">
            <w:pPr>
              <w:pStyle w:val="178"/>
              <w:rPr>
                <w:rFonts w:ascii="Times New Roman" w:eastAsia="宋体" w:cs="Times New Roman"/>
                <w:spacing w:val="11"/>
              </w:rPr>
            </w:pPr>
          </w:p>
        </w:tc>
        <w:tc>
          <w:tcPr>
            <w:tcW w:w="451" w:type="dxa"/>
            <w:vAlign w:val="center"/>
          </w:tcPr>
          <w:p w14:paraId="0733356D">
            <w:pPr>
              <w:pStyle w:val="178"/>
              <w:rPr>
                <w:rFonts w:ascii="Times New Roman" w:eastAsia="宋体" w:cs="Times New Roman"/>
                <w:spacing w:val="11"/>
              </w:rPr>
            </w:pPr>
          </w:p>
        </w:tc>
        <w:tc>
          <w:tcPr>
            <w:tcW w:w="901" w:type="dxa"/>
            <w:gridSpan w:val="2"/>
            <w:vAlign w:val="center"/>
          </w:tcPr>
          <w:p w14:paraId="13700893">
            <w:pPr>
              <w:pStyle w:val="178"/>
              <w:rPr>
                <w:rFonts w:ascii="Times New Roman" w:eastAsia="宋体" w:cs="Times New Roman"/>
                <w:spacing w:val="11"/>
              </w:rPr>
            </w:pPr>
          </w:p>
        </w:tc>
        <w:tc>
          <w:tcPr>
            <w:tcW w:w="901" w:type="dxa"/>
            <w:vAlign w:val="center"/>
          </w:tcPr>
          <w:p w14:paraId="17FF114F">
            <w:pPr>
              <w:pStyle w:val="178"/>
              <w:rPr>
                <w:rFonts w:ascii="Times New Roman" w:eastAsia="宋体" w:cs="Times New Roman"/>
                <w:spacing w:val="11"/>
              </w:rPr>
            </w:pPr>
          </w:p>
        </w:tc>
        <w:tc>
          <w:tcPr>
            <w:tcW w:w="901" w:type="dxa"/>
            <w:vAlign w:val="center"/>
          </w:tcPr>
          <w:p w14:paraId="351A729A">
            <w:pPr>
              <w:pStyle w:val="178"/>
              <w:rPr>
                <w:rFonts w:ascii="Times New Roman" w:eastAsia="宋体" w:cs="Times New Roman"/>
                <w:spacing w:val="11"/>
              </w:rPr>
            </w:pPr>
          </w:p>
        </w:tc>
        <w:tc>
          <w:tcPr>
            <w:tcW w:w="901" w:type="dxa"/>
            <w:vAlign w:val="center"/>
          </w:tcPr>
          <w:p w14:paraId="38D43C40">
            <w:pPr>
              <w:pStyle w:val="178"/>
              <w:rPr>
                <w:rFonts w:ascii="Times New Roman" w:eastAsia="宋体" w:cs="Times New Roman"/>
                <w:spacing w:val="11"/>
              </w:rPr>
            </w:pPr>
          </w:p>
        </w:tc>
        <w:tc>
          <w:tcPr>
            <w:tcW w:w="901" w:type="dxa"/>
            <w:vAlign w:val="center"/>
          </w:tcPr>
          <w:p w14:paraId="46F82385">
            <w:pPr>
              <w:pStyle w:val="178"/>
              <w:rPr>
                <w:rFonts w:ascii="Times New Roman" w:eastAsia="宋体" w:cs="Times New Roman"/>
                <w:spacing w:val="11"/>
              </w:rPr>
            </w:pPr>
          </w:p>
        </w:tc>
        <w:tc>
          <w:tcPr>
            <w:tcW w:w="901" w:type="dxa"/>
            <w:vAlign w:val="center"/>
          </w:tcPr>
          <w:p w14:paraId="5B3D2F0C">
            <w:pPr>
              <w:pStyle w:val="178"/>
              <w:rPr>
                <w:rFonts w:ascii="Times New Roman" w:eastAsia="宋体" w:cs="Times New Roman"/>
                <w:spacing w:val="11"/>
              </w:rPr>
            </w:pPr>
          </w:p>
        </w:tc>
        <w:tc>
          <w:tcPr>
            <w:tcW w:w="901" w:type="dxa"/>
            <w:vAlign w:val="center"/>
          </w:tcPr>
          <w:p w14:paraId="6D89A031">
            <w:pPr>
              <w:pStyle w:val="178"/>
              <w:rPr>
                <w:rFonts w:ascii="Times New Roman" w:eastAsia="宋体" w:cs="Times New Roman"/>
                <w:spacing w:val="11"/>
              </w:rPr>
            </w:pPr>
          </w:p>
        </w:tc>
        <w:tc>
          <w:tcPr>
            <w:tcW w:w="901" w:type="dxa"/>
            <w:vAlign w:val="center"/>
          </w:tcPr>
          <w:p w14:paraId="5A5585E4">
            <w:pPr>
              <w:pStyle w:val="178"/>
              <w:rPr>
                <w:rFonts w:ascii="Times New Roman" w:eastAsia="宋体" w:cs="Times New Roman"/>
                <w:spacing w:val="11"/>
              </w:rPr>
            </w:pPr>
          </w:p>
        </w:tc>
        <w:tc>
          <w:tcPr>
            <w:tcW w:w="901" w:type="dxa"/>
            <w:vAlign w:val="center"/>
          </w:tcPr>
          <w:p w14:paraId="5ADCFE73">
            <w:pPr>
              <w:pStyle w:val="178"/>
              <w:rPr>
                <w:rFonts w:ascii="Times New Roman" w:eastAsia="宋体" w:cs="Times New Roman"/>
                <w:spacing w:val="11"/>
              </w:rPr>
            </w:pPr>
          </w:p>
        </w:tc>
        <w:tc>
          <w:tcPr>
            <w:tcW w:w="571" w:type="dxa"/>
            <w:tcBorders>
              <w:right w:val="single" w:color="000000" w:sz="6" w:space="0"/>
            </w:tcBorders>
            <w:vAlign w:val="center"/>
          </w:tcPr>
          <w:p w14:paraId="55900AA7">
            <w:pPr>
              <w:pStyle w:val="178"/>
              <w:rPr>
                <w:rFonts w:ascii="Times New Roman" w:eastAsia="宋体" w:cs="Times New Roman"/>
                <w:spacing w:val="11"/>
              </w:rPr>
            </w:pPr>
          </w:p>
        </w:tc>
      </w:tr>
      <w:tr w14:paraId="22BF6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48" w:type="dxa"/>
            <w:tcBorders>
              <w:left w:val="single" w:color="000000" w:sz="6" w:space="0"/>
            </w:tcBorders>
            <w:vAlign w:val="center"/>
          </w:tcPr>
          <w:p w14:paraId="01143ED3">
            <w:pPr>
              <w:pStyle w:val="178"/>
              <w:rPr>
                <w:rFonts w:ascii="Times New Roman" w:eastAsia="宋体" w:cs="Times New Roman"/>
                <w:spacing w:val="11"/>
              </w:rPr>
            </w:pPr>
            <w:r>
              <w:rPr>
                <w:rFonts w:ascii="Times New Roman" w:eastAsia="宋体" w:cs="Times New Roman"/>
                <w:spacing w:val="11"/>
              </w:rPr>
              <w:t>5</w:t>
            </w:r>
          </w:p>
        </w:tc>
        <w:tc>
          <w:tcPr>
            <w:tcW w:w="540" w:type="dxa"/>
            <w:vAlign w:val="center"/>
          </w:tcPr>
          <w:p w14:paraId="030EA9B1">
            <w:pPr>
              <w:pStyle w:val="178"/>
              <w:rPr>
                <w:rFonts w:ascii="Times New Roman" w:eastAsia="宋体" w:cs="Times New Roman"/>
                <w:spacing w:val="11"/>
              </w:rPr>
            </w:pPr>
          </w:p>
        </w:tc>
        <w:tc>
          <w:tcPr>
            <w:tcW w:w="540" w:type="dxa"/>
            <w:vAlign w:val="center"/>
          </w:tcPr>
          <w:p w14:paraId="2D4B586F">
            <w:pPr>
              <w:pStyle w:val="178"/>
              <w:rPr>
                <w:rFonts w:ascii="Times New Roman" w:eastAsia="宋体" w:cs="Times New Roman"/>
                <w:spacing w:val="11"/>
              </w:rPr>
            </w:pPr>
          </w:p>
        </w:tc>
        <w:tc>
          <w:tcPr>
            <w:tcW w:w="540" w:type="dxa"/>
            <w:vAlign w:val="center"/>
          </w:tcPr>
          <w:p w14:paraId="5D7E3902">
            <w:pPr>
              <w:pStyle w:val="178"/>
              <w:rPr>
                <w:rFonts w:ascii="Times New Roman" w:eastAsia="宋体" w:cs="Times New Roman"/>
                <w:spacing w:val="11"/>
              </w:rPr>
            </w:pPr>
          </w:p>
        </w:tc>
        <w:tc>
          <w:tcPr>
            <w:tcW w:w="540" w:type="dxa"/>
            <w:vAlign w:val="center"/>
          </w:tcPr>
          <w:p w14:paraId="775FAC43">
            <w:pPr>
              <w:pStyle w:val="178"/>
              <w:rPr>
                <w:rFonts w:ascii="Times New Roman" w:eastAsia="宋体" w:cs="Times New Roman"/>
                <w:spacing w:val="11"/>
              </w:rPr>
            </w:pPr>
          </w:p>
        </w:tc>
        <w:tc>
          <w:tcPr>
            <w:tcW w:w="540" w:type="dxa"/>
            <w:vAlign w:val="center"/>
          </w:tcPr>
          <w:p w14:paraId="4B36FD4D">
            <w:pPr>
              <w:pStyle w:val="178"/>
              <w:rPr>
                <w:rFonts w:ascii="Times New Roman" w:eastAsia="宋体" w:cs="Times New Roman"/>
                <w:spacing w:val="11"/>
              </w:rPr>
            </w:pPr>
          </w:p>
        </w:tc>
        <w:tc>
          <w:tcPr>
            <w:tcW w:w="541" w:type="dxa"/>
            <w:vAlign w:val="center"/>
          </w:tcPr>
          <w:p w14:paraId="505186AB">
            <w:pPr>
              <w:pStyle w:val="178"/>
              <w:rPr>
                <w:rFonts w:ascii="Times New Roman" w:eastAsia="宋体" w:cs="Times New Roman"/>
                <w:spacing w:val="11"/>
              </w:rPr>
            </w:pPr>
          </w:p>
        </w:tc>
        <w:tc>
          <w:tcPr>
            <w:tcW w:w="450" w:type="dxa"/>
            <w:vAlign w:val="center"/>
          </w:tcPr>
          <w:p w14:paraId="1B1FE1D9">
            <w:pPr>
              <w:pStyle w:val="178"/>
              <w:rPr>
                <w:rFonts w:ascii="Times New Roman" w:eastAsia="宋体" w:cs="Times New Roman"/>
                <w:spacing w:val="11"/>
              </w:rPr>
            </w:pPr>
          </w:p>
        </w:tc>
        <w:tc>
          <w:tcPr>
            <w:tcW w:w="451" w:type="dxa"/>
            <w:vAlign w:val="center"/>
          </w:tcPr>
          <w:p w14:paraId="66ACE77D">
            <w:pPr>
              <w:pStyle w:val="178"/>
              <w:rPr>
                <w:rFonts w:ascii="Times New Roman" w:eastAsia="宋体" w:cs="Times New Roman"/>
                <w:spacing w:val="11"/>
              </w:rPr>
            </w:pPr>
          </w:p>
        </w:tc>
        <w:tc>
          <w:tcPr>
            <w:tcW w:w="901" w:type="dxa"/>
            <w:gridSpan w:val="2"/>
            <w:vAlign w:val="center"/>
          </w:tcPr>
          <w:p w14:paraId="1729FCC2">
            <w:pPr>
              <w:pStyle w:val="178"/>
              <w:rPr>
                <w:rFonts w:ascii="Times New Roman" w:eastAsia="宋体" w:cs="Times New Roman"/>
                <w:spacing w:val="11"/>
              </w:rPr>
            </w:pPr>
          </w:p>
        </w:tc>
        <w:tc>
          <w:tcPr>
            <w:tcW w:w="901" w:type="dxa"/>
            <w:vAlign w:val="center"/>
          </w:tcPr>
          <w:p w14:paraId="5FEE5F83">
            <w:pPr>
              <w:pStyle w:val="178"/>
              <w:rPr>
                <w:rFonts w:ascii="Times New Roman" w:eastAsia="宋体" w:cs="Times New Roman"/>
                <w:spacing w:val="11"/>
              </w:rPr>
            </w:pPr>
          </w:p>
        </w:tc>
        <w:tc>
          <w:tcPr>
            <w:tcW w:w="901" w:type="dxa"/>
            <w:vAlign w:val="center"/>
          </w:tcPr>
          <w:p w14:paraId="3A8F751C">
            <w:pPr>
              <w:pStyle w:val="178"/>
              <w:rPr>
                <w:rFonts w:ascii="Times New Roman" w:eastAsia="宋体" w:cs="Times New Roman"/>
                <w:spacing w:val="11"/>
              </w:rPr>
            </w:pPr>
          </w:p>
        </w:tc>
        <w:tc>
          <w:tcPr>
            <w:tcW w:w="901" w:type="dxa"/>
            <w:vAlign w:val="center"/>
          </w:tcPr>
          <w:p w14:paraId="083AA2D4">
            <w:pPr>
              <w:pStyle w:val="178"/>
              <w:rPr>
                <w:rFonts w:ascii="Times New Roman" w:eastAsia="宋体" w:cs="Times New Roman"/>
                <w:spacing w:val="11"/>
              </w:rPr>
            </w:pPr>
          </w:p>
        </w:tc>
        <w:tc>
          <w:tcPr>
            <w:tcW w:w="901" w:type="dxa"/>
            <w:vAlign w:val="center"/>
          </w:tcPr>
          <w:p w14:paraId="188BCAF4">
            <w:pPr>
              <w:pStyle w:val="178"/>
              <w:rPr>
                <w:rFonts w:ascii="Times New Roman" w:eastAsia="宋体" w:cs="Times New Roman"/>
                <w:spacing w:val="11"/>
              </w:rPr>
            </w:pPr>
          </w:p>
        </w:tc>
        <w:tc>
          <w:tcPr>
            <w:tcW w:w="901" w:type="dxa"/>
            <w:vAlign w:val="center"/>
          </w:tcPr>
          <w:p w14:paraId="0A0A91CD">
            <w:pPr>
              <w:pStyle w:val="178"/>
              <w:rPr>
                <w:rFonts w:ascii="Times New Roman" w:eastAsia="宋体" w:cs="Times New Roman"/>
                <w:spacing w:val="11"/>
              </w:rPr>
            </w:pPr>
          </w:p>
        </w:tc>
        <w:tc>
          <w:tcPr>
            <w:tcW w:w="901" w:type="dxa"/>
            <w:vAlign w:val="center"/>
          </w:tcPr>
          <w:p w14:paraId="1319BFF2">
            <w:pPr>
              <w:pStyle w:val="178"/>
              <w:rPr>
                <w:rFonts w:ascii="Times New Roman" w:eastAsia="宋体" w:cs="Times New Roman"/>
                <w:spacing w:val="11"/>
              </w:rPr>
            </w:pPr>
          </w:p>
        </w:tc>
        <w:tc>
          <w:tcPr>
            <w:tcW w:w="901" w:type="dxa"/>
            <w:vAlign w:val="center"/>
          </w:tcPr>
          <w:p w14:paraId="108210F4">
            <w:pPr>
              <w:pStyle w:val="178"/>
              <w:rPr>
                <w:rFonts w:ascii="Times New Roman" w:eastAsia="宋体" w:cs="Times New Roman"/>
                <w:spacing w:val="11"/>
              </w:rPr>
            </w:pPr>
          </w:p>
        </w:tc>
        <w:tc>
          <w:tcPr>
            <w:tcW w:w="901" w:type="dxa"/>
            <w:vAlign w:val="center"/>
          </w:tcPr>
          <w:p w14:paraId="453701DA">
            <w:pPr>
              <w:pStyle w:val="178"/>
              <w:rPr>
                <w:rFonts w:ascii="Times New Roman" w:eastAsia="宋体" w:cs="Times New Roman"/>
                <w:spacing w:val="11"/>
              </w:rPr>
            </w:pPr>
          </w:p>
        </w:tc>
        <w:tc>
          <w:tcPr>
            <w:tcW w:w="571" w:type="dxa"/>
            <w:tcBorders>
              <w:right w:val="single" w:color="000000" w:sz="6" w:space="0"/>
            </w:tcBorders>
            <w:vAlign w:val="center"/>
          </w:tcPr>
          <w:p w14:paraId="6BB37912">
            <w:pPr>
              <w:pStyle w:val="178"/>
              <w:rPr>
                <w:rFonts w:ascii="Times New Roman" w:eastAsia="宋体" w:cs="Times New Roman"/>
                <w:spacing w:val="11"/>
              </w:rPr>
            </w:pPr>
          </w:p>
        </w:tc>
      </w:tr>
      <w:tr w14:paraId="3AED8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48" w:type="dxa"/>
            <w:tcBorders>
              <w:left w:val="single" w:color="000000" w:sz="6" w:space="0"/>
              <w:bottom w:val="single" w:color="000000" w:sz="6" w:space="0"/>
            </w:tcBorders>
            <w:vAlign w:val="center"/>
          </w:tcPr>
          <w:p w14:paraId="386ADD85">
            <w:pPr>
              <w:pStyle w:val="178"/>
              <w:rPr>
                <w:rFonts w:hint="eastAsia" w:ascii="Times New Roman" w:eastAsia="宋体" w:cs="Times New Roman"/>
                <w:spacing w:val="11"/>
                <w:lang w:val="en-US" w:eastAsia="zh-CN"/>
              </w:rPr>
            </w:pPr>
            <w:r>
              <w:rPr>
                <w:rFonts w:hint="eastAsia" w:ascii="Times New Roman" w:cs="Times New Roman"/>
                <w:spacing w:val="11"/>
                <w:lang w:val="en-US" w:eastAsia="zh-CN"/>
              </w:rPr>
              <w:t>6</w:t>
            </w:r>
          </w:p>
          <w:p w14:paraId="649B887F">
            <w:pPr>
              <w:pStyle w:val="178"/>
              <w:rPr>
                <w:rFonts w:ascii="Times New Roman" w:eastAsia="宋体" w:cs="Times New Roman"/>
                <w:spacing w:val="11"/>
              </w:rPr>
            </w:pPr>
          </w:p>
        </w:tc>
        <w:tc>
          <w:tcPr>
            <w:tcW w:w="540" w:type="dxa"/>
            <w:tcBorders>
              <w:bottom w:val="single" w:color="000000" w:sz="6" w:space="0"/>
            </w:tcBorders>
            <w:vAlign w:val="center"/>
          </w:tcPr>
          <w:p w14:paraId="733886B4">
            <w:pPr>
              <w:pStyle w:val="178"/>
              <w:rPr>
                <w:rFonts w:ascii="Times New Roman" w:eastAsia="宋体" w:cs="Times New Roman"/>
                <w:spacing w:val="11"/>
              </w:rPr>
            </w:pPr>
          </w:p>
        </w:tc>
        <w:tc>
          <w:tcPr>
            <w:tcW w:w="540" w:type="dxa"/>
            <w:tcBorders>
              <w:bottom w:val="single" w:color="000000" w:sz="6" w:space="0"/>
            </w:tcBorders>
            <w:vAlign w:val="center"/>
          </w:tcPr>
          <w:p w14:paraId="6B678EB3">
            <w:pPr>
              <w:pStyle w:val="178"/>
              <w:rPr>
                <w:rFonts w:ascii="Times New Roman" w:eastAsia="宋体" w:cs="Times New Roman"/>
                <w:spacing w:val="11"/>
              </w:rPr>
            </w:pPr>
          </w:p>
        </w:tc>
        <w:tc>
          <w:tcPr>
            <w:tcW w:w="540" w:type="dxa"/>
            <w:tcBorders>
              <w:bottom w:val="single" w:color="000000" w:sz="6" w:space="0"/>
            </w:tcBorders>
            <w:vAlign w:val="center"/>
          </w:tcPr>
          <w:p w14:paraId="307FA947">
            <w:pPr>
              <w:pStyle w:val="178"/>
              <w:rPr>
                <w:rFonts w:ascii="Times New Roman" w:eastAsia="宋体" w:cs="Times New Roman"/>
                <w:spacing w:val="11"/>
              </w:rPr>
            </w:pPr>
          </w:p>
        </w:tc>
        <w:tc>
          <w:tcPr>
            <w:tcW w:w="540" w:type="dxa"/>
            <w:tcBorders>
              <w:bottom w:val="single" w:color="000000" w:sz="6" w:space="0"/>
            </w:tcBorders>
            <w:vAlign w:val="center"/>
          </w:tcPr>
          <w:p w14:paraId="03F6CB70">
            <w:pPr>
              <w:pStyle w:val="178"/>
              <w:rPr>
                <w:rFonts w:ascii="Times New Roman" w:eastAsia="宋体" w:cs="Times New Roman"/>
                <w:spacing w:val="11"/>
              </w:rPr>
            </w:pPr>
          </w:p>
        </w:tc>
        <w:tc>
          <w:tcPr>
            <w:tcW w:w="540" w:type="dxa"/>
            <w:tcBorders>
              <w:bottom w:val="single" w:color="000000" w:sz="6" w:space="0"/>
            </w:tcBorders>
            <w:vAlign w:val="center"/>
          </w:tcPr>
          <w:p w14:paraId="25899F84">
            <w:pPr>
              <w:pStyle w:val="178"/>
              <w:rPr>
                <w:rFonts w:ascii="Times New Roman" w:eastAsia="宋体" w:cs="Times New Roman"/>
                <w:spacing w:val="11"/>
              </w:rPr>
            </w:pPr>
          </w:p>
        </w:tc>
        <w:tc>
          <w:tcPr>
            <w:tcW w:w="541" w:type="dxa"/>
            <w:tcBorders>
              <w:bottom w:val="single" w:color="000000" w:sz="6" w:space="0"/>
            </w:tcBorders>
            <w:vAlign w:val="center"/>
          </w:tcPr>
          <w:p w14:paraId="1498EACF">
            <w:pPr>
              <w:pStyle w:val="178"/>
              <w:rPr>
                <w:rFonts w:ascii="Times New Roman" w:eastAsia="宋体" w:cs="Times New Roman"/>
                <w:spacing w:val="11"/>
              </w:rPr>
            </w:pPr>
          </w:p>
        </w:tc>
        <w:tc>
          <w:tcPr>
            <w:tcW w:w="450" w:type="dxa"/>
            <w:tcBorders>
              <w:bottom w:val="single" w:color="000000" w:sz="6" w:space="0"/>
            </w:tcBorders>
            <w:vAlign w:val="center"/>
          </w:tcPr>
          <w:p w14:paraId="0CF7A018">
            <w:pPr>
              <w:pStyle w:val="178"/>
              <w:rPr>
                <w:rFonts w:ascii="Times New Roman" w:eastAsia="宋体" w:cs="Times New Roman"/>
                <w:spacing w:val="11"/>
              </w:rPr>
            </w:pPr>
          </w:p>
        </w:tc>
        <w:tc>
          <w:tcPr>
            <w:tcW w:w="451" w:type="dxa"/>
            <w:tcBorders>
              <w:bottom w:val="single" w:color="000000" w:sz="6" w:space="0"/>
            </w:tcBorders>
            <w:vAlign w:val="center"/>
          </w:tcPr>
          <w:p w14:paraId="375DE423">
            <w:pPr>
              <w:pStyle w:val="178"/>
              <w:rPr>
                <w:rFonts w:ascii="Times New Roman" w:eastAsia="宋体" w:cs="Times New Roman"/>
                <w:spacing w:val="11"/>
              </w:rPr>
            </w:pPr>
          </w:p>
        </w:tc>
        <w:tc>
          <w:tcPr>
            <w:tcW w:w="901" w:type="dxa"/>
            <w:gridSpan w:val="2"/>
            <w:tcBorders>
              <w:bottom w:val="single" w:color="000000" w:sz="6" w:space="0"/>
            </w:tcBorders>
            <w:vAlign w:val="center"/>
          </w:tcPr>
          <w:p w14:paraId="16575938">
            <w:pPr>
              <w:pStyle w:val="178"/>
              <w:rPr>
                <w:rFonts w:ascii="Times New Roman" w:eastAsia="宋体" w:cs="Times New Roman"/>
                <w:spacing w:val="11"/>
              </w:rPr>
            </w:pPr>
          </w:p>
        </w:tc>
        <w:tc>
          <w:tcPr>
            <w:tcW w:w="901" w:type="dxa"/>
            <w:tcBorders>
              <w:bottom w:val="single" w:color="000000" w:sz="6" w:space="0"/>
            </w:tcBorders>
            <w:vAlign w:val="center"/>
          </w:tcPr>
          <w:p w14:paraId="1E9EDDBB">
            <w:pPr>
              <w:pStyle w:val="178"/>
              <w:rPr>
                <w:rFonts w:ascii="Times New Roman" w:eastAsia="宋体" w:cs="Times New Roman"/>
                <w:spacing w:val="11"/>
              </w:rPr>
            </w:pPr>
          </w:p>
        </w:tc>
        <w:tc>
          <w:tcPr>
            <w:tcW w:w="901" w:type="dxa"/>
            <w:tcBorders>
              <w:bottom w:val="single" w:color="000000" w:sz="6" w:space="0"/>
            </w:tcBorders>
            <w:vAlign w:val="center"/>
          </w:tcPr>
          <w:p w14:paraId="36434052">
            <w:pPr>
              <w:pStyle w:val="178"/>
              <w:rPr>
                <w:rFonts w:ascii="Times New Roman" w:eastAsia="宋体" w:cs="Times New Roman"/>
                <w:spacing w:val="11"/>
              </w:rPr>
            </w:pPr>
          </w:p>
        </w:tc>
        <w:tc>
          <w:tcPr>
            <w:tcW w:w="901" w:type="dxa"/>
            <w:tcBorders>
              <w:bottom w:val="single" w:color="000000" w:sz="6" w:space="0"/>
            </w:tcBorders>
            <w:vAlign w:val="center"/>
          </w:tcPr>
          <w:p w14:paraId="12B1A132">
            <w:pPr>
              <w:pStyle w:val="178"/>
              <w:rPr>
                <w:rFonts w:ascii="Times New Roman" w:eastAsia="宋体" w:cs="Times New Roman"/>
                <w:spacing w:val="11"/>
              </w:rPr>
            </w:pPr>
          </w:p>
        </w:tc>
        <w:tc>
          <w:tcPr>
            <w:tcW w:w="901" w:type="dxa"/>
            <w:tcBorders>
              <w:bottom w:val="single" w:color="000000" w:sz="6" w:space="0"/>
            </w:tcBorders>
            <w:vAlign w:val="center"/>
          </w:tcPr>
          <w:p w14:paraId="21AAD601">
            <w:pPr>
              <w:pStyle w:val="178"/>
              <w:rPr>
                <w:rFonts w:ascii="Times New Roman" w:eastAsia="宋体" w:cs="Times New Roman"/>
                <w:spacing w:val="11"/>
              </w:rPr>
            </w:pPr>
          </w:p>
        </w:tc>
        <w:tc>
          <w:tcPr>
            <w:tcW w:w="901" w:type="dxa"/>
            <w:tcBorders>
              <w:bottom w:val="single" w:color="000000" w:sz="6" w:space="0"/>
            </w:tcBorders>
            <w:vAlign w:val="center"/>
          </w:tcPr>
          <w:p w14:paraId="23BD0E2B">
            <w:pPr>
              <w:pStyle w:val="178"/>
              <w:rPr>
                <w:rFonts w:ascii="Times New Roman" w:eastAsia="宋体" w:cs="Times New Roman"/>
                <w:spacing w:val="11"/>
              </w:rPr>
            </w:pPr>
          </w:p>
        </w:tc>
        <w:tc>
          <w:tcPr>
            <w:tcW w:w="901" w:type="dxa"/>
            <w:tcBorders>
              <w:bottom w:val="single" w:color="000000" w:sz="6" w:space="0"/>
            </w:tcBorders>
            <w:vAlign w:val="center"/>
          </w:tcPr>
          <w:p w14:paraId="5FF4D315">
            <w:pPr>
              <w:pStyle w:val="178"/>
              <w:rPr>
                <w:rFonts w:ascii="Times New Roman" w:eastAsia="宋体" w:cs="Times New Roman"/>
                <w:spacing w:val="11"/>
              </w:rPr>
            </w:pPr>
          </w:p>
        </w:tc>
        <w:tc>
          <w:tcPr>
            <w:tcW w:w="901" w:type="dxa"/>
            <w:tcBorders>
              <w:bottom w:val="single" w:color="000000" w:sz="6" w:space="0"/>
            </w:tcBorders>
            <w:vAlign w:val="center"/>
          </w:tcPr>
          <w:p w14:paraId="5124F4EB">
            <w:pPr>
              <w:pStyle w:val="178"/>
              <w:rPr>
                <w:rFonts w:ascii="Times New Roman" w:eastAsia="宋体" w:cs="Times New Roman"/>
                <w:spacing w:val="11"/>
              </w:rPr>
            </w:pPr>
          </w:p>
        </w:tc>
        <w:tc>
          <w:tcPr>
            <w:tcW w:w="901" w:type="dxa"/>
            <w:tcBorders>
              <w:bottom w:val="single" w:color="000000" w:sz="6" w:space="0"/>
            </w:tcBorders>
            <w:vAlign w:val="center"/>
          </w:tcPr>
          <w:p w14:paraId="14D87048">
            <w:pPr>
              <w:pStyle w:val="178"/>
              <w:rPr>
                <w:rFonts w:ascii="Times New Roman" w:eastAsia="宋体" w:cs="Times New Roman"/>
                <w:spacing w:val="11"/>
              </w:rPr>
            </w:pPr>
          </w:p>
        </w:tc>
        <w:tc>
          <w:tcPr>
            <w:tcW w:w="571" w:type="dxa"/>
            <w:tcBorders>
              <w:bottom w:val="single" w:color="000000" w:sz="6" w:space="0"/>
              <w:right w:val="single" w:color="000000" w:sz="6" w:space="0"/>
            </w:tcBorders>
            <w:vAlign w:val="center"/>
          </w:tcPr>
          <w:p w14:paraId="5975391C">
            <w:pPr>
              <w:pStyle w:val="178"/>
              <w:rPr>
                <w:rFonts w:ascii="Times New Roman" w:eastAsia="宋体" w:cs="Times New Roman"/>
                <w:spacing w:val="11"/>
              </w:rPr>
            </w:pPr>
          </w:p>
        </w:tc>
      </w:tr>
    </w:tbl>
    <w:p w14:paraId="5FB8CD61">
      <w:pPr>
        <w:pStyle w:val="198"/>
        <w:sectPr>
          <w:headerReference r:id="rId14" w:type="default"/>
          <w:footerReference r:id="rId16" w:type="default"/>
          <w:headerReference r:id="rId15" w:type="even"/>
          <w:footerReference r:id="rId17" w:type="even"/>
          <w:pgSz w:w="16838" w:h="11906" w:orient="landscape"/>
          <w:pgMar w:top="1134" w:right="1871" w:bottom="1134" w:left="1134" w:header="1418" w:footer="1247" w:gutter="284"/>
          <w:pgBorders>
            <w:top w:val="none" w:sz="0" w:space="0"/>
            <w:left w:val="none" w:sz="0" w:space="0"/>
            <w:bottom w:val="none" w:sz="0" w:space="0"/>
            <w:right w:val="none" w:sz="0" w:space="0"/>
          </w:pgBorders>
          <w:cols w:space="425" w:num="1"/>
          <w:formProt w:val="0"/>
          <w:docGrid w:linePitch="312" w:charSpace="0"/>
        </w:sectPr>
      </w:pPr>
    </w:p>
    <w:p w14:paraId="5EBB7C77">
      <w:pPr>
        <w:pStyle w:val="56"/>
        <w:ind w:firstLine="420"/>
        <w:rPr>
          <w:vanish/>
        </w:rPr>
      </w:pPr>
    </w:p>
    <w:p w14:paraId="7B6FAE05">
      <w:pPr>
        <w:pStyle w:val="198"/>
        <w:rPr>
          <w:rFonts w:hint="eastAsia"/>
        </w:rPr>
      </w:pPr>
    </w:p>
    <w:p w14:paraId="591FD1F2">
      <w:pPr>
        <w:pStyle w:val="198"/>
        <w:rPr>
          <w:rFonts w:hint="eastAsia"/>
        </w:rPr>
      </w:pPr>
    </w:p>
    <w:p w14:paraId="336049A8">
      <w:pPr>
        <w:pStyle w:val="199"/>
        <w:rPr>
          <w:rFonts w:hint="eastAsia"/>
          <w:vanish w:val="0"/>
        </w:rPr>
      </w:pPr>
    </w:p>
    <w:p w14:paraId="4B15C00D">
      <w:pPr>
        <w:pStyle w:val="199"/>
        <w:rPr>
          <w:rFonts w:hint="eastAsia"/>
          <w:vanish w:val="0"/>
        </w:rPr>
      </w:pPr>
    </w:p>
    <w:p w14:paraId="16E23543">
      <w:pPr>
        <w:pStyle w:val="76"/>
        <w:spacing w:after="120"/>
        <w:rPr>
          <w:rFonts w:hint="eastAsia"/>
        </w:rPr>
      </w:pPr>
      <w:r>
        <w:br w:type="textWrapping"/>
      </w:r>
      <w:bookmarkStart w:id="119" w:name="_Toc177558361"/>
      <w:bookmarkStart w:id="120" w:name="_Toc177558396"/>
      <w:r>
        <w:rPr>
          <w:rFonts w:hint="eastAsia"/>
        </w:rPr>
        <w:t>（资料性）</w:t>
      </w:r>
      <w:r>
        <w:br w:type="textWrapping"/>
      </w:r>
      <w:r>
        <w:rPr>
          <w:rFonts w:hint="eastAsia"/>
        </w:rPr>
        <w:t>医疗机器人机械臂关节 1 PFMECA</w:t>
      </w:r>
      <w:r>
        <w:t xml:space="preserve"> </w:t>
      </w:r>
      <w:r>
        <w:rPr>
          <w:rFonts w:hint="eastAsia"/>
        </w:rPr>
        <w:t>示例</w:t>
      </w:r>
      <w:bookmarkEnd w:id="119"/>
      <w:bookmarkEnd w:id="120"/>
    </w:p>
    <w:p w14:paraId="64B94804">
      <w:pPr>
        <w:pStyle w:val="78"/>
        <w:spacing w:before="120" w:after="120"/>
      </w:pPr>
      <w:bookmarkStart w:id="121" w:name="_Toc177558362"/>
      <w:bookmarkStart w:id="122" w:name="_Toc177558397"/>
      <w:r>
        <w:rPr>
          <w:rFonts w:hint="eastAsia"/>
        </w:rPr>
        <w:t>概述</w:t>
      </w:r>
      <w:bookmarkEnd w:id="121"/>
      <w:bookmarkEnd w:id="122"/>
    </w:p>
    <w:p w14:paraId="0F6AB8ED">
      <w:pPr>
        <w:pStyle w:val="56"/>
        <w:ind w:firstLine="420"/>
      </w:pPr>
      <w:r>
        <w:rPr>
          <w:rFonts w:hint="eastAsia"/>
        </w:rPr>
        <w:t>以医疗机器人为例，针对某机械臂关节 1 装配过程 PFMECA</w:t>
      </w:r>
      <w:r>
        <w:t xml:space="preserve"> </w:t>
      </w:r>
      <w:r>
        <w:rPr>
          <w:rFonts w:hint="eastAsia"/>
        </w:rPr>
        <w:t>过程如下。</w:t>
      </w:r>
    </w:p>
    <w:p w14:paraId="62D5FCF9">
      <w:pPr>
        <w:pStyle w:val="78"/>
        <w:spacing w:before="120" w:after="120"/>
      </w:pPr>
      <w:bookmarkStart w:id="123" w:name="_Toc177558363"/>
      <w:bookmarkStart w:id="124" w:name="_Toc177558398"/>
      <w:r>
        <w:rPr>
          <w:rFonts w:hint="eastAsia"/>
        </w:rPr>
        <w:t>待分析对象定义</w:t>
      </w:r>
      <w:bookmarkEnd w:id="123"/>
      <w:bookmarkEnd w:id="124"/>
    </w:p>
    <w:p w14:paraId="065C3499">
      <w:pPr>
        <w:pStyle w:val="56"/>
        <w:ind w:firstLine="420"/>
      </w:pPr>
      <w:r>
        <w:rPr>
          <w:rFonts w:hint="eastAsia"/>
        </w:rPr>
        <w:t>医疗机器人为全自主新研产品，因为直接作用于手术过程，失效后</w:t>
      </w:r>
      <w:r>
        <w:rPr>
          <w:rFonts w:hint="eastAsia"/>
          <w:lang w:eastAsia="zh-CN"/>
        </w:rPr>
        <w:t>危害性</w:t>
      </w:r>
      <w:r>
        <w:rPr>
          <w:rFonts w:hint="eastAsia"/>
        </w:rPr>
        <w:t>较高。其制造过程亦为新建，所以整个制造过程均需进行 PFMECA</w:t>
      </w:r>
      <w:r>
        <w:t xml:space="preserve"> </w:t>
      </w:r>
      <w:r>
        <w:rPr>
          <w:rFonts w:hint="eastAsia"/>
        </w:rPr>
        <w:t>分析。本文仅展示某机械臂关节 1 的部分 PFMECA 过程，以作示例。</w:t>
      </w:r>
    </w:p>
    <w:p w14:paraId="3DC8C93F">
      <w:pPr>
        <w:pStyle w:val="78"/>
        <w:spacing w:before="120" w:after="120"/>
      </w:pPr>
      <w:bookmarkStart w:id="125" w:name="_Toc177558399"/>
      <w:bookmarkStart w:id="126" w:name="_Toc177558364"/>
      <w:r>
        <w:rPr>
          <w:rFonts w:hint="eastAsia"/>
        </w:rPr>
        <w:t>功能分析</w:t>
      </w:r>
      <w:bookmarkEnd w:id="125"/>
      <w:bookmarkEnd w:id="126"/>
    </w:p>
    <w:p w14:paraId="4126B620">
      <w:pPr>
        <w:pStyle w:val="56"/>
        <w:ind w:firstLine="420"/>
      </w:pPr>
      <w:r>
        <w:rPr>
          <w:rFonts w:hint="eastAsia"/>
        </w:rPr>
        <w:t>该机械臂关节 1 装配过程所要实现的功能如下：</w:t>
      </w:r>
    </w:p>
    <w:p w14:paraId="176AA50E">
      <w:pPr>
        <w:pStyle w:val="56"/>
        <w:numPr>
          <w:ilvl w:val="0"/>
          <w:numId w:val="44"/>
        </w:numPr>
        <w:ind w:firstLineChars="0"/>
        <w:rPr>
          <w:rFonts w:hint="eastAsia"/>
        </w:rPr>
      </w:pPr>
      <w:r>
        <w:rPr>
          <w:rFonts w:hint="eastAsia"/>
        </w:rPr>
        <w:t>关节转动摩擦力不大于××Nm;</w:t>
      </w:r>
    </w:p>
    <w:p w14:paraId="75573E5A">
      <w:pPr>
        <w:pStyle w:val="56"/>
        <w:numPr>
          <w:ilvl w:val="0"/>
          <w:numId w:val="44"/>
        </w:numPr>
        <w:ind w:firstLineChars="0"/>
      </w:pPr>
      <w:r>
        <w:rPr>
          <w:rFonts w:hint="eastAsia"/>
        </w:rPr>
        <w:t>关节运动空间：××°±**°;</w:t>
      </w:r>
      <w:r>
        <w:rPr>
          <w:rFonts w:hint="eastAsia"/>
        </w:rPr>
        <w:tab/>
      </w:r>
    </w:p>
    <w:p w14:paraId="1D7B1719">
      <w:pPr>
        <w:pStyle w:val="56"/>
        <w:numPr>
          <w:ilvl w:val="0"/>
          <w:numId w:val="44"/>
        </w:numPr>
        <w:ind w:firstLineChars="0"/>
      </w:pPr>
      <w:r>
        <w:rPr>
          <w:rFonts w:hint="eastAsia"/>
        </w:rPr>
        <w:t>关节连接可靠，锁紧后无晃动；</w:t>
      </w:r>
    </w:p>
    <w:p w14:paraId="1F05118C">
      <w:pPr>
        <w:pStyle w:val="56"/>
        <w:numPr>
          <w:ilvl w:val="0"/>
          <w:numId w:val="44"/>
        </w:numPr>
        <w:ind w:firstLineChars="0"/>
        <w:rPr>
          <w:rFonts w:hint="eastAsia"/>
        </w:rPr>
      </w:pPr>
      <w:r>
        <w:rPr>
          <w:rFonts w:hint="eastAsia"/>
        </w:rPr>
        <w:t>关节转动无明显卡顿感；</w:t>
      </w:r>
    </w:p>
    <w:p w14:paraId="53A2490C">
      <w:pPr>
        <w:pStyle w:val="56"/>
        <w:ind w:firstLine="420"/>
        <w:rPr>
          <w:rFonts w:hint="eastAsia"/>
        </w:rPr>
      </w:pPr>
      <w:r>
        <w:rPr>
          <w:rFonts w:hint="eastAsia"/>
        </w:rPr>
        <w:t>……</w:t>
      </w:r>
    </w:p>
    <w:p w14:paraId="775E5006">
      <w:pPr>
        <w:pStyle w:val="78"/>
        <w:spacing w:before="120" w:after="120"/>
      </w:pPr>
      <w:bookmarkStart w:id="127" w:name="_Toc177558400"/>
      <w:bookmarkStart w:id="128" w:name="_Toc177558365"/>
      <w:r>
        <w:rPr>
          <w:rFonts w:hint="eastAsia"/>
        </w:rPr>
        <w:t>失效模式识别</w:t>
      </w:r>
      <w:bookmarkEnd w:id="127"/>
      <w:bookmarkEnd w:id="128"/>
    </w:p>
    <w:p w14:paraId="5110613B">
      <w:pPr>
        <w:pStyle w:val="56"/>
        <w:ind w:firstLine="420"/>
      </w:pPr>
      <w:r>
        <w:rPr>
          <w:rFonts w:hint="eastAsia"/>
        </w:rPr>
        <w:t>所识别的失效模式及该失效所属失效类别见表 C.1。</w:t>
      </w:r>
    </w:p>
    <w:p w14:paraId="18DCA7FF">
      <w:pPr>
        <w:pStyle w:val="77"/>
        <w:spacing w:before="120" w:after="120"/>
      </w:pPr>
      <w:r>
        <w:rPr>
          <w:rFonts w:hint="eastAsia"/>
        </w:rPr>
        <w:t>机械臂关节 1 装配过程失效模式</w:t>
      </w:r>
    </w:p>
    <w:tbl>
      <w:tblPr>
        <w:tblStyle w:val="231"/>
        <w:tblW w:w="9222"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71"/>
        <w:gridCol w:w="3063"/>
        <w:gridCol w:w="3088"/>
      </w:tblGrid>
      <w:tr w14:paraId="08C7E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3071" w:type="dxa"/>
            <w:tcBorders>
              <w:top w:val="single" w:color="000000" w:sz="6" w:space="0"/>
              <w:left w:val="single" w:color="000000" w:sz="6" w:space="0"/>
              <w:bottom w:val="single" w:color="000000" w:sz="6" w:space="0"/>
            </w:tcBorders>
            <w:vAlign w:val="center"/>
          </w:tcPr>
          <w:p w14:paraId="2CFAC523">
            <w:pPr>
              <w:pStyle w:val="178"/>
              <w:rPr>
                <w:rFonts w:ascii="Times New Roman" w:eastAsia="宋体" w:cs="Times New Roman"/>
                <w:spacing w:val="11"/>
              </w:rPr>
            </w:pPr>
            <w:r>
              <w:rPr>
                <w:rFonts w:ascii="Times New Roman" w:eastAsia="宋体" w:cs="Times New Roman"/>
                <w:spacing w:val="11"/>
              </w:rPr>
              <w:t>功能</w:t>
            </w:r>
          </w:p>
        </w:tc>
        <w:tc>
          <w:tcPr>
            <w:tcW w:w="3063" w:type="dxa"/>
            <w:tcBorders>
              <w:top w:val="single" w:color="000000" w:sz="6" w:space="0"/>
              <w:bottom w:val="single" w:color="000000" w:sz="6" w:space="0"/>
            </w:tcBorders>
            <w:vAlign w:val="center"/>
          </w:tcPr>
          <w:p w14:paraId="59DDD195">
            <w:pPr>
              <w:pStyle w:val="178"/>
              <w:rPr>
                <w:rFonts w:ascii="Times New Roman" w:eastAsia="宋体" w:cs="Times New Roman"/>
                <w:spacing w:val="11"/>
              </w:rPr>
            </w:pPr>
            <w:r>
              <w:rPr>
                <w:rFonts w:ascii="Times New Roman" w:eastAsia="宋体" w:cs="Times New Roman"/>
                <w:spacing w:val="11"/>
              </w:rPr>
              <w:t>失效模式</w:t>
            </w:r>
          </w:p>
        </w:tc>
        <w:tc>
          <w:tcPr>
            <w:tcW w:w="3088" w:type="dxa"/>
            <w:tcBorders>
              <w:top w:val="single" w:color="000000" w:sz="6" w:space="0"/>
              <w:bottom w:val="single" w:color="000000" w:sz="6" w:space="0"/>
              <w:right w:val="single" w:color="000000" w:sz="6" w:space="0"/>
            </w:tcBorders>
            <w:vAlign w:val="center"/>
          </w:tcPr>
          <w:p w14:paraId="31382689">
            <w:pPr>
              <w:pStyle w:val="178"/>
              <w:rPr>
                <w:rFonts w:ascii="Times New Roman" w:eastAsia="宋体" w:cs="Times New Roman"/>
                <w:spacing w:val="11"/>
              </w:rPr>
            </w:pPr>
            <w:r>
              <w:rPr>
                <w:rFonts w:ascii="Times New Roman" w:eastAsia="宋体" w:cs="Times New Roman"/>
                <w:spacing w:val="11"/>
              </w:rPr>
              <w:t>功能失效类别</w:t>
            </w:r>
          </w:p>
        </w:tc>
      </w:tr>
      <w:tr w14:paraId="578DF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3071" w:type="dxa"/>
            <w:tcBorders>
              <w:top w:val="single" w:color="000000" w:sz="6" w:space="0"/>
              <w:left w:val="single" w:color="000000" w:sz="6" w:space="0"/>
            </w:tcBorders>
            <w:vAlign w:val="center"/>
          </w:tcPr>
          <w:p w14:paraId="72B40C51">
            <w:pPr>
              <w:pStyle w:val="178"/>
              <w:rPr>
                <w:rFonts w:ascii="Times New Roman" w:eastAsia="宋体" w:cs="Times New Roman"/>
                <w:spacing w:val="11"/>
              </w:rPr>
            </w:pPr>
            <w:r>
              <w:rPr>
                <w:rFonts w:ascii="Times New Roman" w:eastAsia="宋体" w:cs="Times New Roman"/>
                <w:spacing w:val="11"/>
              </w:rPr>
              <w:t>关节转动摩擦力不大于××Nm</w:t>
            </w:r>
          </w:p>
        </w:tc>
        <w:tc>
          <w:tcPr>
            <w:tcW w:w="3063" w:type="dxa"/>
            <w:tcBorders>
              <w:top w:val="single" w:color="000000" w:sz="6" w:space="0"/>
            </w:tcBorders>
            <w:vAlign w:val="center"/>
          </w:tcPr>
          <w:p w14:paraId="5FB42D9F">
            <w:pPr>
              <w:pStyle w:val="178"/>
              <w:rPr>
                <w:rFonts w:ascii="Times New Roman" w:eastAsia="宋体" w:cs="Times New Roman"/>
                <w:spacing w:val="11"/>
              </w:rPr>
            </w:pPr>
            <w:r>
              <w:rPr>
                <w:rFonts w:ascii="Times New Roman" w:eastAsia="宋体" w:cs="Times New Roman"/>
                <w:spacing w:val="11"/>
              </w:rPr>
              <w:t>关节转动摩擦力过大</w:t>
            </w:r>
          </w:p>
        </w:tc>
        <w:tc>
          <w:tcPr>
            <w:tcW w:w="3088" w:type="dxa"/>
            <w:tcBorders>
              <w:top w:val="single" w:color="000000" w:sz="6" w:space="0"/>
              <w:right w:val="single" w:color="000000" w:sz="6" w:space="0"/>
            </w:tcBorders>
            <w:vAlign w:val="center"/>
          </w:tcPr>
          <w:p w14:paraId="5B8E0F80">
            <w:pPr>
              <w:pStyle w:val="178"/>
              <w:rPr>
                <w:rFonts w:ascii="Times New Roman" w:eastAsia="宋体" w:cs="Times New Roman"/>
                <w:spacing w:val="11"/>
              </w:rPr>
            </w:pPr>
            <w:r>
              <w:rPr>
                <w:rFonts w:ascii="Times New Roman" w:eastAsia="宋体" w:cs="Times New Roman"/>
                <w:spacing w:val="11"/>
              </w:rPr>
              <w:t>过功能</w:t>
            </w:r>
          </w:p>
        </w:tc>
      </w:tr>
      <w:tr w14:paraId="719FD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3071" w:type="dxa"/>
            <w:tcBorders>
              <w:left w:val="single" w:color="000000" w:sz="6" w:space="0"/>
            </w:tcBorders>
            <w:vAlign w:val="center"/>
          </w:tcPr>
          <w:p w14:paraId="04916356">
            <w:pPr>
              <w:pStyle w:val="178"/>
              <w:rPr>
                <w:rFonts w:ascii="Times New Roman" w:eastAsia="宋体" w:cs="Times New Roman"/>
                <w:spacing w:val="11"/>
              </w:rPr>
            </w:pPr>
            <w:r>
              <w:rPr>
                <w:rFonts w:ascii="Times New Roman" w:eastAsia="宋体" w:cs="Times New Roman"/>
                <w:spacing w:val="11"/>
              </w:rPr>
              <w:t>关节运动空间：××°±**°</w:t>
            </w:r>
          </w:p>
        </w:tc>
        <w:tc>
          <w:tcPr>
            <w:tcW w:w="3063" w:type="dxa"/>
            <w:vAlign w:val="center"/>
          </w:tcPr>
          <w:p w14:paraId="1C152237">
            <w:pPr>
              <w:pStyle w:val="178"/>
              <w:rPr>
                <w:rFonts w:ascii="Times New Roman" w:eastAsia="宋体" w:cs="Times New Roman"/>
                <w:spacing w:val="11"/>
              </w:rPr>
            </w:pPr>
            <w:r>
              <w:rPr>
                <w:rFonts w:ascii="Times New Roman" w:eastAsia="宋体" w:cs="Times New Roman"/>
                <w:spacing w:val="11"/>
              </w:rPr>
              <w:t>关节工作空间不对称</w:t>
            </w:r>
          </w:p>
        </w:tc>
        <w:tc>
          <w:tcPr>
            <w:tcW w:w="3088" w:type="dxa"/>
            <w:tcBorders>
              <w:right w:val="single" w:color="000000" w:sz="6" w:space="0"/>
            </w:tcBorders>
            <w:vAlign w:val="center"/>
          </w:tcPr>
          <w:p w14:paraId="3780106E">
            <w:pPr>
              <w:pStyle w:val="178"/>
              <w:rPr>
                <w:rFonts w:ascii="Times New Roman" w:eastAsia="宋体" w:cs="Times New Roman"/>
                <w:spacing w:val="11"/>
              </w:rPr>
            </w:pPr>
            <w:r>
              <w:rPr>
                <w:rFonts w:ascii="Times New Roman" w:eastAsia="宋体" w:cs="Times New Roman"/>
                <w:spacing w:val="11"/>
              </w:rPr>
              <w:t>功能不足</w:t>
            </w:r>
          </w:p>
        </w:tc>
      </w:tr>
      <w:tr w14:paraId="18461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3071" w:type="dxa"/>
            <w:tcBorders>
              <w:left w:val="single" w:color="000000" w:sz="6" w:space="0"/>
            </w:tcBorders>
            <w:vAlign w:val="center"/>
          </w:tcPr>
          <w:p w14:paraId="3888C4EB">
            <w:pPr>
              <w:pStyle w:val="178"/>
              <w:rPr>
                <w:rFonts w:ascii="Times New Roman" w:eastAsia="宋体" w:cs="Times New Roman"/>
                <w:spacing w:val="11"/>
              </w:rPr>
            </w:pPr>
            <w:r>
              <w:rPr>
                <w:rFonts w:ascii="Times New Roman" w:eastAsia="宋体" w:cs="Times New Roman"/>
                <w:spacing w:val="11"/>
              </w:rPr>
              <w:t>关节连接可靠，锁紧后无晃动</w:t>
            </w:r>
          </w:p>
        </w:tc>
        <w:tc>
          <w:tcPr>
            <w:tcW w:w="3063" w:type="dxa"/>
            <w:vAlign w:val="center"/>
          </w:tcPr>
          <w:p w14:paraId="0AF21DF1">
            <w:pPr>
              <w:pStyle w:val="178"/>
              <w:rPr>
                <w:rFonts w:ascii="Times New Roman" w:eastAsia="宋体" w:cs="Times New Roman"/>
                <w:spacing w:val="11"/>
              </w:rPr>
            </w:pPr>
            <w:r>
              <w:rPr>
                <w:rFonts w:ascii="Times New Roman" w:eastAsia="宋体" w:cs="Times New Roman"/>
                <w:spacing w:val="11"/>
              </w:rPr>
              <w:t>关节晃动</w:t>
            </w:r>
          </w:p>
        </w:tc>
        <w:tc>
          <w:tcPr>
            <w:tcW w:w="3088" w:type="dxa"/>
            <w:tcBorders>
              <w:right w:val="single" w:color="000000" w:sz="6" w:space="0"/>
            </w:tcBorders>
            <w:vAlign w:val="center"/>
          </w:tcPr>
          <w:p w14:paraId="1E0EFF6E">
            <w:pPr>
              <w:pStyle w:val="178"/>
              <w:rPr>
                <w:rFonts w:ascii="Times New Roman" w:eastAsia="宋体" w:cs="Times New Roman"/>
                <w:spacing w:val="11"/>
              </w:rPr>
            </w:pPr>
            <w:r>
              <w:rPr>
                <w:rFonts w:ascii="Times New Roman" w:eastAsia="宋体" w:cs="Times New Roman"/>
                <w:spacing w:val="11"/>
              </w:rPr>
              <w:t>功能丧失</w:t>
            </w:r>
          </w:p>
        </w:tc>
      </w:tr>
      <w:tr w14:paraId="38532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3071" w:type="dxa"/>
            <w:tcBorders>
              <w:left w:val="single" w:color="000000" w:sz="6" w:space="0"/>
            </w:tcBorders>
            <w:vAlign w:val="center"/>
          </w:tcPr>
          <w:p w14:paraId="55EA93EF">
            <w:pPr>
              <w:pStyle w:val="178"/>
              <w:rPr>
                <w:rFonts w:ascii="Times New Roman" w:eastAsia="宋体" w:cs="Times New Roman"/>
                <w:spacing w:val="11"/>
              </w:rPr>
            </w:pPr>
            <w:r>
              <w:rPr>
                <w:rFonts w:ascii="Times New Roman" w:eastAsia="宋体" w:cs="Times New Roman"/>
                <w:spacing w:val="11"/>
              </w:rPr>
              <w:t>关节转动无明显卡顿感</w:t>
            </w:r>
          </w:p>
        </w:tc>
        <w:tc>
          <w:tcPr>
            <w:tcW w:w="3063" w:type="dxa"/>
            <w:vAlign w:val="center"/>
          </w:tcPr>
          <w:p w14:paraId="03F58CB3">
            <w:pPr>
              <w:pStyle w:val="178"/>
              <w:rPr>
                <w:rFonts w:ascii="Times New Roman" w:eastAsia="宋体" w:cs="Times New Roman"/>
                <w:spacing w:val="11"/>
              </w:rPr>
            </w:pPr>
            <w:r>
              <w:rPr>
                <w:rFonts w:ascii="Times New Roman" w:eastAsia="宋体" w:cs="Times New Roman"/>
                <w:spacing w:val="11"/>
              </w:rPr>
              <w:t>关节运动明显卡顿</w:t>
            </w:r>
          </w:p>
        </w:tc>
        <w:tc>
          <w:tcPr>
            <w:tcW w:w="3088" w:type="dxa"/>
            <w:tcBorders>
              <w:right w:val="single" w:color="000000" w:sz="6" w:space="0"/>
            </w:tcBorders>
            <w:vAlign w:val="center"/>
          </w:tcPr>
          <w:p w14:paraId="3A01F381">
            <w:pPr>
              <w:pStyle w:val="178"/>
              <w:rPr>
                <w:rFonts w:ascii="Times New Roman" w:eastAsia="宋体" w:cs="Times New Roman"/>
                <w:spacing w:val="11"/>
              </w:rPr>
            </w:pPr>
            <w:r>
              <w:rPr>
                <w:rFonts w:ascii="Times New Roman" w:eastAsia="宋体" w:cs="Times New Roman"/>
                <w:spacing w:val="11"/>
              </w:rPr>
              <w:t>间歇性功能</w:t>
            </w:r>
          </w:p>
        </w:tc>
      </w:tr>
      <w:tr w14:paraId="5763E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3071" w:type="dxa"/>
            <w:tcBorders>
              <w:left w:val="single" w:color="000000" w:sz="6" w:space="0"/>
              <w:bottom w:val="single" w:color="000000" w:sz="6" w:space="0"/>
            </w:tcBorders>
            <w:vAlign w:val="center"/>
          </w:tcPr>
          <w:p w14:paraId="6563B349">
            <w:pPr>
              <w:pStyle w:val="178"/>
              <w:rPr>
                <w:rFonts w:ascii="Times New Roman" w:eastAsia="宋体" w:cs="Times New Roman"/>
                <w:spacing w:val="11"/>
              </w:rPr>
            </w:pPr>
            <w:r>
              <w:rPr>
                <w:rFonts w:ascii="Times New Roman" w:eastAsia="宋体" w:cs="Times New Roman"/>
                <w:spacing w:val="11"/>
              </w:rPr>
              <w:t>……</w:t>
            </w:r>
          </w:p>
        </w:tc>
        <w:tc>
          <w:tcPr>
            <w:tcW w:w="3063" w:type="dxa"/>
            <w:tcBorders>
              <w:bottom w:val="single" w:color="000000" w:sz="6" w:space="0"/>
            </w:tcBorders>
            <w:vAlign w:val="center"/>
          </w:tcPr>
          <w:p w14:paraId="2EE26F67">
            <w:pPr>
              <w:pStyle w:val="178"/>
              <w:rPr>
                <w:rFonts w:ascii="Times New Roman" w:eastAsia="宋体" w:cs="Times New Roman"/>
                <w:spacing w:val="11"/>
              </w:rPr>
            </w:pPr>
            <w:r>
              <w:rPr>
                <w:rFonts w:ascii="Times New Roman" w:eastAsia="宋体" w:cs="Times New Roman"/>
                <w:spacing w:val="11"/>
              </w:rPr>
              <w:t>……</w:t>
            </w:r>
          </w:p>
        </w:tc>
        <w:tc>
          <w:tcPr>
            <w:tcW w:w="3088" w:type="dxa"/>
            <w:tcBorders>
              <w:bottom w:val="single" w:color="000000" w:sz="6" w:space="0"/>
              <w:right w:val="single" w:color="000000" w:sz="6" w:space="0"/>
            </w:tcBorders>
            <w:vAlign w:val="center"/>
          </w:tcPr>
          <w:p w14:paraId="2BF6520A">
            <w:pPr>
              <w:pStyle w:val="178"/>
              <w:rPr>
                <w:rFonts w:ascii="Times New Roman" w:eastAsia="宋体" w:cs="Times New Roman"/>
                <w:spacing w:val="11"/>
              </w:rPr>
            </w:pPr>
            <w:r>
              <w:rPr>
                <w:rFonts w:ascii="Times New Roman" w:eastAsia="宋体" w:cs="Times New Roman"/>
                <w:spacing w:val="11"/>
              </w:rPr>
              <w:t>……</w:t>
            </w:r>
          </w:p>
        </w:tc>
      </w:tr>
    </w:tbl>
    <w:p w14:paraId="355C2B1A">
      <w:pPr>
        <w:pStyle w:val="78"/>
        <w:spacing w:before="120" w:after="120"/>
      </w:pPr>
      <w:bookmarkStart w:id="129" w:name="_Toc177558366"/>
      <w:bookmarkStart w:id="130" w:name="_Toc177558401"/>
      <w:r>
        <w:rPr>
          <w:rFonts w:hint="eastAsia"/>
        </w:rPr>
        <w:t>失效原因分析</w:t>
      </w:r>
      <w:bookmarkEnd w:id="129"/>
      <w:bookmarkEnd w:id="130"/>
    </w:p>
    <w:p w14:paraId="722A389B">
      <w:pPr>
        <w:pStyle w:val="56"/>
        <w:ind w:firstLine="420"/>
      </w:pPr>
      <w:r>
        <w:rPr>
          <w:rFonts w:hint="eastAsia"/>
        </w:rPr>
        <w:t>根据上文失效模式，识别到的失效原因见表 C.2。</w:t>
      </w:r>
    </w:p>
    <w:p w14:paraId="60A0F397">
      <w:pPr>
        <w:pStyle w:val="56"/>
        <w:ind w:firstLine="420"/>
      </w:pPr>
      <w:r>
        <w:rPr>
          <w:rFonts w:hint="eastAsia"/>
        </w:rPr>
        <w:t>一个失效往往对应多个失效原因，本文仅为示例，针对每种失效，仅列出一个失效原因。</w:t>
      </w:r>
    </w:p>
    <w:p w14:paraId="0AB79CD5">
      <w:pPr>
        <w:pStyle w:val="77"/>
        <w:spacing w:before="120" w:after="120"/>
      </w:pPr>
      <w:r>
        <w:rPr>
          <w:rFonts w:hint="eastAsia"/>
        </w:rPr>
        <w:t>机械臂关节 1 装配过程失效原因</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047"/>
        <w:gridCol w:w="3049"/>
        <w:gridCol w:w="3049"/>
      </w:tblGrid>
      <w:tr w14:paraId="565DB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blHeader/>
          <w:jc w:val="center"/>
        </w:trPr>
        <w:tc>
          <w:tcPr>
            <w:tcW w:w="3047" w:type="dxa"/>
            <w:tcBorders>
              <w:top w:val="single" w:color="auto" w:sz="8" w:space="0"/>
              <w:bottom w:val="single" w:color="auto" w:sz="8" w:space="0"/>
            </w:tcBorders>
            <w:shd w:val="clear" w:color="auto" w:fill="auto"/>
            <w:vAlign w:val="center"/>
          </w:tcPr>
          <w:p w14:paraId="5845E587">
            <w:pPr>
              <w:pStyle w:val="178"/>
              <w:rPr>
                <w:rFonts w:hint="eastAsia"/>
              </w:rPr>
            </w:pPr>
            <w:r>
              <w:rPr>
                <w:rFonts w:ascii="Times New Roman"/>
                <w:spacing w:val="11"/>
              </w:rPr>
              <w:t>失效模式</w:t>
            </w:r>
          </w:p>
        </w:tc>
        <w:tc>
          <w:tcPr>
            <w:tcW w:w="3049" w:type="dxa"/>
            <w:tcBorders>
              <w:top w:val="single" w:color="auto" w:sz="8" w:space="0"/>
              <w:bottom w:val="single" w:color="auto" w:sz="8" w:space="0"/>
            </w:tcBorders>
            <w:shd w:val="clear" w:color="auto" w:fill="auto"/>
            <w:vAlign w:val="center"/>
          </w:tcPr>
          <w:p w14:paraId="346FE001">
            <w:pPr>
              <w:pStyle w:val="178"/>
              <w:rPr>
                <w:rFonts w:hint="eastAsia"/>
              </w:rPr>
            </w:pPr>
            <w:r>
              <w:rPr>
                <w:rFonts w:ascii="Times New Roman"/>
                <w:spacing w:val="11"/>
              </w:rPr>
              <w:t>失效原因</w:t>
            </w:r>
          </w:p>
        </w:tc>
        <w:tc>
          <w:tcPr>
            <w:tcW w:w="3049" w:type="dxa"/>
            <w:tcBorders>
              <w:top w:val="single" w:color="auto" w:sz="8" w:space="0"/>
              <w:bottom w:val="single" w:color="auto" w:sz="8" w:space="0"/>
            </w:tcBorders>
            <w:shd w:val="clear" w:color="auto" w:fill="auto"/>
            <w:vAlign w:val="center"/>
          </w:tcPr>
          <w:p w14:paraId="3B26D899">
            <w:pPr>
              <w:pStyle w:val="178"/>
              <w:rPr>
                <w:rFonts w:hint="eastAsia"/>
              </w:rPr>
            </w:pPr>
            <w:r>
              <w:rPr>
                <w:rFonts w:ascii="Times New Roman"/>
                <w:spacing w:val="11"/>
              </w:rPr>
              <w:t>失效原因类别</w:t>
            </w:r>
          </w:p>
        </w:tc>
      </w:tr>
      <w:tr w14:paraId="051C1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3047" w:type="dxa"/>
            <w:tcBorders>
              <w:top w:val="single" w:color="auto" w:sz="8" w:space="0"/>
            </w:tcBorders>
            <w:shd w:val="clear" w:color="auto" w:fill="auto"/>
            <w:vAlign w:val="center"/>
          </w:tcPr>
          <w:p w14:paraId="0A1B20C9">
            <w:pPr>
              <w:pStyle w:val="178"/>
              <w:rPr>
                <w:rFonts w:hint="eastAsia"/>
              </w:rPr>
            </w:pPr>
            <w:r>
              <w:rPr>
                <w:rFonts w:ascii="Times New Roman"/>
                <w:spacing w:val="11"/>
              </w:rPr>
              <w:t>关节转动摩擦力过大</w:t>
            </w:r>
          </w:p>
        </w:tc>
        <w:tc>
          <w:tcPr>
            <w:tcW w:w="3049" w:type="dxa"/>
            <w:tcBorders>
              <w:top w:val="single" w:color="auto" w:sz="8" w:space="0"/>
            </w:tcBorders>
            <w:shd w:val="clear" w:color="auto" w:fill="auto"/>
            <w:vAlign w:val="center"/>
          </w:tcPr>
          <w:p w14:paraId="6ECF03CA">
            <w:pPr>
              <w:pStyle w:val="178"/>
              <w:rPr>
                <w:rFonts w:hint="eastAsia"/>
              </w:rPr>
            </w:pPr>
            <w:r>
              <w:rPr>
                <w:rFonts w:ascii="Times New Roman"/>
                <w:spacing w:val="11"/>
              </w:rPr>
              <w:t>CIMRS添加过多</w:t>
            </w:r>
          </w:p>
        </w:tc>
        <w:tc>
          <w:tcPr>
            <w:tcW w:w="3049" w:type="dxa"/>
            <w:tcBorders>
              <w:top w:val="single" w:color="auto" w:sz="8" w:space="0"/>
            </w:tcBorders>
            <w:shd w:val="clear" w:color="auto" w:fill="auto"/>
            <w:vAlign w:val="center"/>
          </w:tcPr>
          <w:p w14:paraId="7E5F1805">
            <w:pPr>
              <w:pStyle w:val="178"/>
              <w:rPr>
                <w:rFonts w:hint="eastAsia"/>
              </w:rPr>
            </w:pPr>
            <w:r>
              <w:rPr>
                <w:rFonts w:ascii="Times New Roman"/>
                <w:spacing w:val="11"/>
              </w:rPr>
              <w:t>料</w:t>
            </w:r>
          </w:p>
        </w:tc>
      </w:tr>
      <w:tr w14:paraId="39241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3047" w:type="dxa"/>
            <w:shd w:val="clear" w:color="auto" w:fill="auto"/>
            <w:vAlign w:val="center"/>
          </w:tcPr>
          <w:p w14:paraId="78D7FC78">
            <w:pPr>
              <w:pStyle w:val="178"/>
              <w:rPr>
                <w:rFonts w:hint="eastAsia"/>
              </w:rPr>
            </w:pPr>
            <w:r>
              <w:rPr>
                <w:rFonts w:hint="eastAsia" w:ascii="Times New Roman"/>
                <w:spacing w:val="11"/>
              </w:rPr>
              <w:t>关节工作空间不对称</w:t>
            </w:r>
          </w:p>
        </w:tc>
        <w:tc>
          <w:tcPr>
            <w:tcW w:w="3049" w:type="dxa"/>
            <w:shd w:val="clear" w:color="auto" w:fill="auto"/>
            <w:vAlign w:val="center"/>
          </w:tcPr>
          <w:p w14:paraId="3269359B">
            <w:pPr>
              <w:pStyle w:val="178"/>
              <w:rPr>
                <w:rFonts w:hint="eastAsia"/>
              </w:rPr>
            </w:pPr>
            <w:r>
              <w:rPr>
                <w:rFonts w:hint="eastAsia" w:ascii="Times New Roman"/>
                <w:spacing w:val="11"/>
              </w:rPr>
              <w:t>零位孔安装偏移</w:t>
            </w:r>
          </w:p>
        </w:tc>
        <w:tc>
          <w:tcPr>
            <w:tcW w:w="3049" w:type="dxa"/>
            <w:shd w:val="clear" w:color="auto" w:fill="auto"/>
            <w:vAlign w:val="center"/>
          </w:tcPr>
          <w:p w14:paraId="16F5B8AA">
            <w:pPr>
              <w:pStyle w:val="178"/>
              <w:rPr>
                <w:rFonts w:hint="eastAsia"/>
              </w:rPr>
            </w:pPr>
            <w:r>
              <w:rPr>
                <w:rFonts w:hint="eastAsia" w:ascii="Times New Roman"/>
                <w:spacing w:val="11"/>
              </w:rPr>
              <w:t>人</w:t>
            </w:r>
          </w:p>
        </w:tc>
      </w:tr>
      <w:tr w14:paraId="18D218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3047" w:type="dxa"/>
            <w:shd w:val="clear" w:color="auto" w:fill="auto"/>
            <w:vAlign w:val="center"/>
          </w:tcPr>
          <w:p w14:paraId="69920367">
            <w:pPr>
              <w:pStyle w:val="178"/>
              <w:rPr>
                <w:rFonts w:hint="eastAsia"/>
              </w:rPr>
            </w:pPr>
            <w:r>
              <w:rPr>
                <w:rFonts w:hint="eastAsia" w:ascii="Times New Roman"/>
                <w:spacing w:val="11"/>
              </w:rPr>
              <w:t>关节晃动</w:t>
            </w:r>
          </w:p>
        </w:tc>
        <w:tc>
          <w:tcPr>
            <w:tcW w:w="3049" w:type="dxa"/>
            <w:shd w:val="clear" w:color="auto" w:fill="auto"/>
            <w:vAlign w:val="center"/>
          </w:tcPr>
          <w:p w14:paraId="4405C94B">
            <w:pPr>
              <w:pStyle w:val="178"/>
              <w:rPr>
                <w:rFonts w:hint="eastAsia"/>
              </w:rPr>
            </w:pPr>
            <w:r>
              <w:rPr>
                <w:rFonts w:hint="eastAsia" w:ascii="Times New Roman"/>
                <w:spacing w:val="11"/>
              </w:rPr>
              <w:t>轴承压盖螺钉拧紧扭矩不足</w:t>
            </w:r>
          </w:p>
        </w:tc>
        <w:tc>
          <w:tcPr>
            <w:tcW w:w="3049" w:type="dxa"/>
            <w:shd w:val="clear" w:color="auto" w:fill="auto"/>
            <w:vAlign w:val="center"/>
          </w:tcPr>
          <w:p w14:paraId="6DD4A624">
            <w:pPr>
              <w:pStyle w:val="178"/>
              <w:rPr>
                <w:rFonts w:hint="eastAsia"/>
              </w:rPr>
            </w:pPr>
            <w:r>
              <w:rPr>
                <w:rFonts w:hint="eastAsia" w:ascii="Times New Roman"/>
                <w:spacing w:val="11"/>
              </w:rPr>
              <w:t>法</w:t>
            </w:r>
          </w:p>
        </w:tc>
      </w:tr>
      <w:tr w14:paraId="6B8D5E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3047" w:type="dxa"/>
            <w:shd w:val="clear" w:color="auto" w:fill="auto"/>
            <w:vAlign w:val="center"/>
          </w:tcPr>
          <w:p w14:paraId="132CFEA7">
            <w:pPr>
              <w:pStyle w:val="178"/>
              <w:rPr>
                <w:rFonts w:hint="eastAsia"/>
              </w:rPr>
            </w:pPr>
            <w:r>
              <w:rPr>
                <w:rFonts w:hint="eastAsia" w:ascii="Times New Roman"/>
                <w:spacing w:val="11"/>
              </w:rPr>
              <w:t>关节运动明显顿挫</w:t>
            </w:r>
          </w:p>
        </w:tc>
        <w:tc>
          <w:tcPr>
            <w:tcW w:w="3049" w:type="dxa"/>
            <w:shd w:val="clear" w:color="auto" w:fill="auto"/>
            <w:vAlign w:val="center"/>
          </w:tcPr>
          <w:p w14:paraId="7A39EA41">
            <w:pPr>
              <w:pStyle w:val="178"/>
              <w:rPr>
                <w:rFonts w:hint="eastAsia"/>
              </w:rPr>
            </w:pPr>
            <w:r>
              <w:rPr>
                <w:rFonts w:hint="eastAsia" w:ascii="Times New Roman"/>
                <w:spacing w:val="11"/>
              </w:rPr>
              <w:t>有异物进入传动结构</w:t>
            </w:r>
          </w:p>
        </w:tc>
        <w:tc>
          <w:tcPr>
            <w:tcW w:w="3049" w:type="dxa"/>
            <w:shd w:val="clear" w:color="auto" w:fill="auto"/>
            <w:vAlign w:val="center"/>
          </w:tcPr>
          <w:p w14:paraId="3A9887CB">
            <w:pPr>
              <w:pStyle w:val="178"/>
              <w:rPr>
                <w:rFonts w:hint="eastAsia"/>
              </w:rPr>
            </w:pPr>
            <w:r>
              <w:rPr>
                <w:rFonts w:hint="eastAsia" w:ascii="Times New Roman"/>
                <w:spacing w:val="11"/>
              </w:rPr>
              <w:t>环</w:t>
            </w:r>
          </w:p>
        </w:tc>
      </w:tr>
      <w:tr w14:paraId="65800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3047" w:type="dxa"/>
            <w:shd w:val="clear" w:color="auto" w:fill="auto"/>
            <w:vAlign w:val="center"/>
          </w:tcPr>
          <w:p w14:paraId="6A6415FC">
            <w:pPr>
              <w:pStyle w:val="178"/>
              <w:rPr>
                <w:rFonts w:hint="eastAsia"/>
              </w:rPr>
            </w:pPr>
            <w:r>
              <w:rPr>
                <w:rFonts w:ascii="Times New Roman"/>
                <w:spacing w:val="11"/>
              </w:rPr>
              <w:t>……</w:t>
            </w:r>
          </w:p>
        </w:tc>
        <w:tc>
          <w:tcPr>
            <w:tcW w:w="3049" w:type="dxa"/>
            <w:shd w:val="clear" w:color="auto" w:fill="auto"/>
            <w:vAlign w:val="center"/>
          </w:tcPr>
          <w:p w14:paraId="4130850F">
            <w:pPr>
              <w:pStyle w:val="178"/>
              <w:rPr>
                <w:rFonts w:hint="eastAsia"/>
              </w:rPr>
            </w:pPr>
            <w:r>
              <w:rPr>
                <w:rFonts w:ascii="Times New Roman"/>
                <w:spacing w:val="11"/>
              </w:rPr>
              <w:t>……</w:t>
            </w:r>
          </w:p>
        </w:tc>
        <w:tc>
          <w:tcPr>
            <w:tcW w:w="3049" w:type="dxa"/>
            <w:shd w:val="clear" w:color="auto" w:fill="auto"/>
            <w:vAlign w:val="center"/>
          </w:tcPr>
          <w:p w14:paraId="14B3516C">
            <w:pPr>
              <w:pStyle w:val="178"/>
              <w:rPr>
                <w:rFonts w:hint="eastAsia"/>
              </w:rPr>
            </w:pPr>
            <w:r>
              <w:rPr>
                <w:rFonts w:ascii="Times New Roman"/>
                <w:spacing w:val="11"/>
              </w:rPr>
              <w:t>……</w:t>
            </w:r>
          </w:p>
        </w:tc>
      </w:tr>
      <w:tr w14:paraId="7241B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9145" w:type="dxa"/>
            <w:gridSpan w:val="3"/>
            <w:shd w:val="clear" w:color="auto" w:fill="auto"/>
            <w:vAlign w:val="center"/>
          </w:tcPr>
          <w:p w14:paraId="77E847F8">
            <w:pPr>
              <w:pStyle w:val="179"/>
              <w:numPr>
                <w:ilvl w:val="0"/>
                <w:numId w:val="32"/>
              </w:numPr>
              <w:rPr>
                <w:rFonts w:hint="eastAsia"/>
              </w:rPr>
            </w:pPr>
            <w:r>
              <w:rPr>
                <w:rFonts w:hint="eastAsia"/>
              </w:rPr>
              <w:t>CIMRS为一种垫片型号。</w:t>
            </w:r>
          </w:p>
        </w:tc>
      </w:tr>
    </w:tbl>
    <w:p w14:paraId="0AF88C78">
      <w:pPr>
        <w:pStyle w:val="78"/>
        <w:spacing w:before="120" w:after="120"/>
      </w:pPr>
      <w:bookmarkStart w:id="131" w:name="_Toc177558367"/>
      <w:bookmarkStart w:id="132" w:name="_Toc177558402"/>
      <w:r>
        <w:rPr>
          <w:rFonts w:hint="eastAsia"/>
        </w:rPr>
        <w:t>失效影响分析</w:t>
      </w:r>
      <w:bookmarkEnd w:id="131"/>
      <w:bookmarkEnd w:id="132"/>
    </w:p>
    <w:p w14:paraId="40F6AC08">
      <w:pPr>
        <w:pStyle w:val="56"/>
        <w:ind w:firstLine="420"/>
        <w:rPr>
          <w:rFonts w:hint="eastAsia"/>
        </w:rPr>
      </w:pPr>
      <w:r>
        <w:rPr>
          <w:rFonts w:hint="eastAsia"/>
        </w:rPr>
        <w:t>根据所识别的失效模式，分析所得失效影响见表 C.3。</w:t>
      </w:r>
    </w:p>
    <w:p w14:paraId="1F107F15">
      <w:pPr>
        <w:pStyle w:val="77"/>
        <w:spacing w:before="120" w:after="120"/>
        <w:rPr>
          <w:highlight w:val="none"/>
        </w:rPr>
      </w:pPr>
      <w:r>
        <w:rPr>
          <w:rFonts w:hint="eastAsia"/>
          <w:highlight w:val="none"/>
        </w:rPr>
        <w:t>机械臂关节 1</w:t>
      </w:r>
      <w:r>
        <w:rPr>
          <w:highlight w:val="none"/>
        </w:rPr>
        <w:t xml:space="preserve"> </w:t>
      </w:r>
      <w:r>
        <w:rPr>
          <w:rFonts w:hint="eastAsia"/>
          <w:highlight w:val="none"/>
        </w:rPr>
        <w:t>装配过程失效影响</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064"/>
        <w:gridCol w:w="3066"/>
        <w:gridCol w:w="3066"/>
      </w:tblGrid>
      <w:tr w14:paraId="4CCADE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0" w:hRule="atLeast"/>
          <w:tblHeader/>
          <w:jc w:val="center"/>
        </w:trPr>
        <w:tc>
          <w:tcPr>
            <w:tcW w:w="3064" w:type="dxa"/>
            <w:tcBorders>
              <w:top w:val="single" w:color="auto" w:sz="8" w:space="0"/>
              <w:bottom w:val="single" w:color="auto" w:sz="8" w:space="0"/>
            </w:tcBorders>
            <w:shd w:val="clear" w:color="auto" w:fill="auto"/>
            <w:vAlign w:val="center"/>
          </w:tcPr>
          <w:p w14:paraId="0D020755">
            <w:pPr>
              <w:pStyle w:val="178"/>
              <w:rPr>
                <w:rFonts w:hint="eastAsia"/>
              </w:rPr>
            </w:pPr>
            <w:r>
              <w:rPr>
                <w:rFonts w:hint="eastAsia"/>
              </w:rPr>
              <w:t>失效模式</w:t>
            </w:r>
          </w:p>
        </w:tc>
        <w:tc>
          <w:tcPr>
            <w:tcW w:w="3066" w:type="dxa"/>
            <w:tcBorders>
              <w:top w:val="single" w:color="auto" w:sz="8" w:space="0"/>
              <w:bottom w:val="single" w:color="auto" w:sz="8" w:space="0"/>
            </w:tcBorders>
            <w:shd w:val="clear" w:color="auto" w:fill="auto"/>
            <w:vAlign w:val="center"/>
          </w:tcPr>
          <w:p w14:paraId="24163D37">
            <w:pPr>
              <w:pStyle w:val="178"/>
              <w:rPr>
                <w:rFonts w:hint="eastAsia"/>
              </w:rPr>
            </w:pPr>
            <w:r>
              <w:rPr>
                <w:rFonts w:hint="eastAsia"/>
              </w:rPr>
              <w:t>局部影响</w:t>
            </w:r>
          </w:p>
        </w:tc>
        <w:tc>
          <w:tcPr>
            <w:tcW w:w="3066" w:type="dxa"/>
            <w:tcBorders>
              <w:top w:val="single" w:color="auto" w:sz="8" w:space="0"/>
              <w:bottom w:val="single" w:color="auto" w:sz="8" w:space="0"/>
            </w:tcBorders>
            <w:shd w:val="clear" w:color="auto" w:fill="auto"/>
            <w:vAlign w:val="center"/>
          </w:tcPr>
          <w:p w14:paraId="77092D08">
            <w:pPr>
              <w:pStyle w:val="178"/>
              <w:rPr>
                <w:rFonts w:hint="eastAsia"/>
              </w:rPr>
            </w:pPr>
            <w:r>
              <w:rPr>
                <w:rFonts w:hint="eastAsia"/>
              </w:rPr>
              <w:t>最终影响</w:t>
            </w:r>
          </w:p>
        </w:tc>
      </w:tr>
      <w:tr w14:paraId="27F038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3064" w:type="dxa"/>
            <w:tcBorders>
              <w:top w:val="single" w:color="auto" w:sz="8" w:space="0"/>
            </w:tcBorders>
            <w:shd w:val="clear" w:color="auto" w:fill="auto"/>
            <w:vAlign w:val="center"/>
          </w:tcPr>
          <w:p w14:paraId="5159B6A4">
            <w:pPr>
              <w:pStyle w:val="178"/>
              <w:rPr>
                <w:rFonts w:hint="eastAsia"/>
              </w:rPr>
            </w:pPr>
            <w:r>
              <w:rPr>
                <w:rFonts w:hint="eastAsia"/>
              </w:rPr>
              <w:t>关节转动摩擦力过大</w:t>
            </w:r>
          </w:p>
        </w:tc>
        <w:tc>
          <w:tcPr>
            <w:tcW w:w="3066" w:type="dxa"/>
            <w:tcBorders>
              <w:top w:val="single" w:color="auto" w:sz="8" w:space="0"/>
            </w:tcBorders>
            <w:shd w:val="clear" w:color="auto" w:fill="auto"/>
            <w:vAlign w:val="center"/>
          </w:tcPr>
          <w:p w14:paraId="0CE2BE24">
            <w:pPr>
              <w:pStyle w:val="178"/>
              <w:rPr>
                <w:rFonts w:hint="eastAsia"/>
              </w:rPr>
            </w:pPr>
            <w:r>
              <w:rPr>
                <w:rFonts w:hint="eastAsia"/>
              </w:rPr>
              <w:t>当前工序内返工，显著延长工时</w:t>
            </w:r>
          </w:p>
        </w:tc>
        <w:tc>
          <w:tcPr>
            <w:tcW w:w="3066" w:type="dxa"/>
            <w:tcBorders>
              <w:top w:val="single" w:color="auto" w:sz="8" w:space="0"/>
            </w:tcBorders>
            <w:shd w:val="clear" w:color="auto" w:fill="auto"/>
            <w:vAlign w:val="center"/>
          </w:tcPr>
          <w:p w14:paraId="3854E952">
            <w:pPr>
              <w:autoSpaceDE w:val="0"/>
              <w:autoSpaceDN w:val="0"/>
              <w:jc w:val="center"/>
              <w:rPr>
                <w:rFonts w:hint="eastAsia"/>
              </w:rPr>
            </w:pPr>
            <w:r>
              <w:rPr>
                <w:rFonts w:hint="eastAsia" w:ascii="宋体" w:hAnsi="Times New Roman" w:eastAsia="宋体" w:cs="Times New Roman"/>
                <w:sz w:val="18"/>
              </w:rPr>
              <w:t>生产成本增加</w:t>
            </w:r>
          </w:p>
        </w:tc>
      </w:tr>
      <w:tr w14:paraId="5334D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3064" w:type="dxa"/>
            <w:shd w:val="clear" w:color="auto" w:fill="auto"/>
            <w:vAlign w:val="center"/>
          </w:tcPr>
          <w:p w14:paraId="016D707B">
            <w:pPr>
              <w:pStyle w:val="178"/>
              <w:rPr>
                <w:rFonts w:hint="eastAsia"/>
              </w:rPr>
            </w:pPr>
            <w:r>
              <w:rPr>
                <w:rFonts w:hint="eastAsia"/>
              </w:rPr>
              <w:t>关节工作空间不对称</w:t>
            </w:r>
          </w:p>
        </w:tc>
        <w:tc>
          <w:tcPr>
            <w:tcW w:w="3066" w:type="dxa"/>
            <w:shd w:val="clear" w:color="auto" w:fill="auto"/>
            <w:vAlign w:val="center"/>
          </w:tcPr>
          <w:p w14:paraId="1980CD82">
            <w:pPr>
              <w:pStyle w:val="178"/>
              <w:rPr>
                <w:rFonts w:hint="eastAsia"/>
              </w:rPr>
            </w:pPr>
            <w:r>
              <w:rPr>
                <w:rFonts w:hint="eastAsia"/>
              </w:rPr>
              <w:t>当前工序内返工，显著延长工时</w:t>
            </w:r>
          </w:p>
        </w:tc>
        <w:tc>
          <w:tcPr>
            <w:tcW w:w="3066" w:type="dxa"/>
            <w:shd w:val="clear" w:color="auto" w:fill="auto"/>
            <w:vAlign w:val="center"/>
          </w:tcPr>
          <w:p w14:paraId="012A8968">
            <w:pPr>
              <w:autoSpaceDE w:val="0"/>
              <w:autoSpaceDN w:val="0"/>
              <w:jc w:val="center"/>
              <w:rPr>
                <w:rFonts w:hint="eastAsia"/>
              </w:rPr>
            </w:pPr>
            <w:r>
              <w:rPr>
                <w:rFonts w:hint="eastAsia" w:ascii="宋体" w:hAnsi="Times New Roman" w:eastAsia="宋体" w:cs="Times New Roman"/>
                <w:sz w:val="18"/>
              </w:rPr>
              <w:t>生产成本增加</w:t>
            </w:r>
          </w:p>
        </w:tc>
      </w:tr>
      <w:tr w14:paraId="52E6CF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3064" w:type="dxa"/>
            <w:shd w:val="clear" w:color="auto" w:fill="auto"/>
            <w:vAlign w:val="center"/>
          </w:tcPr>
          <w:p w14:paraId="6D4362CA">
            <w:pPr>
              <w:pStyle w:val="178"/>
              <w:rPr>
                <w:rFonts w:hint="eastAsia"/>
              </w:rPr>
            </w:pPr>
            <w:r>
              <w:rPr>
                <w:rFonts w:hint="eastAsia"/>
              </w:rPr>
              <w:t>关节晃动</w:t>
            </w:r>
          </w:p>
        </w:tc>
        <w:tc>
          <w:tcPr>
            <w:tcW w:w="3066" w:type="dxa"/>
            <w:shd w:val="clear" w:color="auto" w:fill="auto"/>
            <w:vAlign w:val="center"/>
          </w:tcPr>
          <w:p w14:paraId="7016E382">
            <w:pPr>
              <w:pStyle w:val="178"/>
              <w:rPr>
                <w:rFonts w:hint="eastAsia"/>
              </w:rPr>
            </w:pPr>
            <w:r>
              <w:rPr>
                <w:rFonts w:hint="eastAsia"/>
              </w:rPr>
              <w:t>当前工序内返工，显著延长工时</w:t>
            </w:r>
          </w:p>
        </w:tc>
        <w:tc>
          <w:tcPr>
            <w:tcW w:w="3066" w:type="dxa"/>
            <w:shd w:val="clear" w:color="auto" w:fill="auto"/>
            <w:vAlign w:val="center"/>
          </w:tcPr>
          <w:p w14:paraId="1DE28989">
            <w:pPr>
              <w:autoSpaceDE w:val="0"/>
              <w:autoSpaceDN w:val="0"/>
              <w:jc w:val="center"/>
              <w:rPr>
                <w:rFonts w:hint="eastAsia"/>
              </w:rPr>
            </w:pPr>
            <w:r>
              <w:rPr>
                <w:rFonts w:hint="eastAsia" w:ascii="宋体" w:hAnsi="Times New Roman" w:eastAsia="宋体" w:cs="Times New Roman"/>
                <w:sz w:val="18"/>
              </w:rPr>
              <w:t>生产成本增加</w:t>
            </w:r>
          </w:p>
        </w:tc>
      </w:tr>
      <w:tr w14:paraId="0D873A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3064" w:type="dxa"/>
            <w:shd w:val="clear" w:color="auto" w:fill="auto"/>
            <w:vAlign w:val="center"/>
          </w:tcPr>
          <w:p w14:paraId="27903A03">
            <w:pPr>
              <w:pStyle w:val="178"/>
              <w:rPr>
                <w:rFonts w:hint="eastAsia"/>
              </w:rPr>
            </w:pPr>
            <w:r>
              <w:rPr>
                <w:rFonts w:hint="eastAsia"/>
              </w:rPr>
              <w:t>关节运动明显顿挫</w:t>
            </w:r>
          </w:p>
        </w:tc>
        <w:tc>
          <w:tcPr>
            <w:tcW w:w="3066" w:type="dxa"/>
            <w:shd w:val="clear" w:color="auto" w:fill="auto"/>
            <w:vAlign w:val="center"/>
          </w:tcPr>
          <w:p w14:paraId="47272932">
            <w:pPr>
              <w:pStyle w:val="178"/>
              <w:rPr>
                <w:rFonts w:hint="eastAsia"/>
              </w:rPr>
            </w:pPr>
            <w:r>
              <w:rPr>
                <w:rFonts w:hint="eastAsia"/>
              </w:rPr>
              <w:t>工序内返工，显著延长工时</w:t>
            </w:r>
          </w:p>
        </w:tc>
        <w:tc>
          <w:tcPr>
            <w:tcW w:w="3066" w:type="dxa"/>
            <w:shd w:val="clear" w:color="auto" w:fill="auto"/>
            <w:vAlign w:val="center"/>
          </w:tcPr>
          <w:p w14:paraId="14B55DBF">
            <w:pPr>
              <w:autoSpaceDE w:val="0"/>
              <w:autoSpaceDN w:val="0"/>
              <w:jc w:val="center"/>
              <w:rPr>
                <w:rFonts w:hint="eastAsia"/>
              </w:rPr>
            </w:pPr>
            <w:r>
              <w:rPr>
                <w:rFonts w:hint="eastAsia" w:ascii="宋体" w:hAnsi="Times New Roman" w:eastAsia="宋体" w:cs="Times New Roman"/>
                <w:sz w:val="18"/>
              </w:rPr>
              <w:t>生产成本增加</w:t>
            </w:r>
          </w:p>
        </w:tc>
      </w:tr>
      <w:tr w14:paraId="400B09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3064" w:type="dxa"/>
            <w:shd w:val="clear" w:color="auto" w:fill="auto"/>
            <w:vAlign w:val="center"/>
          </w:tcPr>
          <w:p w14:paraId="25AE0534">
            <w:pPr>
              <w:pStyle w:val="178"/>
              <w:rPr>
                <w:rFonts w:hint="eastAsia"/>
              </w:rPr>
            </w:pPr>
            <w:r>
              <w:rPr>
                <w:rFonts w:ascii="Times New Roman"/>
                <w:spacing w:val="11"/>
              </w:rPr>
              <w:t>……</w:t>
            </w:r>
          </w:p>
        </w:tc>
        <w:tc>
          <w:tcPr>
            <w:tcW w:w="3066" w:type="dxa"/>
            <w:shd w:val="clear" w:color="auto" w:fill="auto"/>
            <w:vAlign w:val="center"/>
          </w:tcPr>
          <w:p w14:paraId="2861D129">
            <w:pPr>
              <w:pStyle w:val="178"/>
              <w:rPr>
                <w:rFonts w:hint="eastAsia"/>
              </w:rPr>
            </w:pPr>
            <w:r>
              <w:rPr>
                <w:rFonts w:ascii="Times New Roman"/>
                <w:spacing w:val="11"/>
              </w:rPr>
              <w:t>……</w:t>
            </w:r>
          </w:p>
        </w:tc>
        <w:tc>
          <w:tcPr>
            <w:tcW w:w="3066" w:type="dxa"/>
            <w:shd w:val="clear" w:color="auto" w:fill="auto"/>
            <w:vAlign w:val="center"/>
          </w:tcPr>
          <w:p w14:paraId="3A792C21">
            <w:pPr>
              <w:autoSpaceDE w:val="0"/>
              <w:autoSpaceDN w:val="0"/>
              <w:jc w:val="center"/>
              <w:rPr>
                <w:rFonts w:hint="eastAsia"/>
              </w:rPr>
            </w:pPr>
            <w:r>
              <w:rPr>
                <w:rFonts w:ascii="Times New Roman" w:hAnsi="Times New Roman" w:eastAsia="宋体" w:cs="Times New Roman"/>
                <w:spacing w:val="11"/>
                <w:sz w:val="18"/>
              </w:rPr>
              <w:t>……</w:t>
            </w:r>
          </w:p>
        </w:tc>
      </w:tr>
    </w:tbl>
    <w:p w14:paraId="633BE7FB">
      <w:pPr>
        <w:pStyle w:val="78"/>
        <w:spacing w:before="120" w:after="120"/>
      </w:pPr>
      <w:bookmarkStart w:id="133" w:name="_Toc177558403"/>
      <w:bookmarkStart w:id="134" w:name="_Toc177558368"/>
      <w:r>
        <w:rPr>
          <w:rFonts w:hint="eastAsia"/>
          <w:lang w:eastAsia="zh-CN"/>
        </w:rPr>
        <w:t>危害性</w:t>
      </w:r>
      <w:r>
        <w:rPr>
          <w:rFonts w:hint="eastAsia"/>
        </w:rPr>
        <w:t>分析</w:t>
      </w:r>
      <w:bookmarkEnd w:id="133"/>
      <w:bookmarkEnd w:id="134"/>
    </w:p>
    <w:p w14:paraId="4D70F094">
      <w:pPr>
        <w:pStyle w:val="56"/>
        <w:ind w:firstLine="420"/>
        <w:rPr>
          <w:rFonts w:hint="eastAsia"/>
        </w:rPr>
      </w:pPr>
      <w:r>
        <w:rPr>
          <w:rFonts w:hint="eastAsia"/>
        </w:rPr>
        <w:t>医疗机器人的</w:t>
      </w:r>
      <w:r>
        <w:rPr>
          <w:rFonts w:hint="eastAsia"/>
          <w:lang w:eastAsia="zh-CN"/>
        </w:rPr>
        <w:t>严重度</w:t>
      </w:r>
      <w:r>
        <w:rPr>
          <w:rFonts w:hint="eastAsia"/>
        </w:rPr>
        <w:t>(S)、发生概率(O)、可探测度(D)等级参见表 C.4～表 C.</w:t>
      </w:r>
      <w:r>
        <w:rPr>
          <w:rFonts w:hint="eastAsia"/>
          <w:lang w:val="en-US" w:eastAsia="zh-CN"/>
        </w:rPr>
        <w:t>6</w:t>
      </w:r>
      <w:r>
        <w:rPr>
          <w:rFonts w:hint="eastAsia"/>
        </w:rPr>
        <w:t>。</w:t>
      </w:r>
    </w:p>
    <w:p w14:paraId="44C33BFE">
      <w:pPr>
        <w:pStyle w:val="77"/>
        <w:spacing w:before="120" w:after="120"/>
      </w:pPr>
      <w:r>
        <w:rPr>
          <w:rFonts w:hint="eastAsia"/>
        </w:rPr>
        <w:t>医疗机器人制造过程</w:t>
      </w:r>
      <w:r>
        <w:rPr>
          <w:rFonts w:hint="eastAsia"/>
          <w:lang w:eastAsia="zh-CN"/>
        </w:rPr>
        <w:t>严重度</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087"/>
        <w:gridCol w:w="3089"/>
        <w:gridCol w:w="3089"/>
      </w:tblGrid>
      <w:tr w14:paraId="61FDDE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6" w:hRule="atLeast"/>
          <w:tblHeader/>
          <w:jc w:val="center"/>
        </w:trPr>
        <w:tc>
          <w:tcPr>
            <w:tcW w:w="3087" w:type="dxa"/>
            <w:tcBorders>
              <w:top w:val="single" w:color="auto" w:sz="8" w:space="0"/>
              <w:bottom w:val="single" w:color="auto" w:sz="8" w:space="0"/>
            </w:tcBorders>
            <w:shd w:val="clear" w:color="auto" w:fill="auto"/>
            <w:vAlign w:val="center"/>
          </w:tcPr>
          <w:p w14:paraId="5362850A">
            <w:pPr>
              <w:pStyle w:val="178"/>
              <w:rPr>
                <w:rFonts w:hint="eastAsia"/>
              </w:rPr>
            </w:pPr>
            <w:r>
              <w:t>等级</w:t>
            </w:r>
          </w:p>
        </w:tc>
        <w:tc>
          <w:tcPr>
            <w:tcW w:w="3089" w:type="dxa"/>
            <w:tcBorders>
              <w:top w:val="single" w:color="auto" w:sz="8" w:space="0"/>
              <w:bottom w:val="single" w:color="auto" w:sz="8" w:space="0"/>
            </w:tcBorders>
            <w:shd w:val="clear" w:color="auto" w:fill="auto"/>
            <w:vAlign w:val="center"/>
          </w:tcPr>
          <w:p w14:paraId="640A35BA">
            <w:pPr>
              <w:pStyle w:val="178"/>
              <w:rPr>
                <w:rFonts w:hint="eastAsia"/>
              </w:rPr>
            </w:pPr>
            <w:r>
              <w:t>定性描述</w:t>
            </w:r>
          </w:p>
        </w:tc>
        <w:tc>
          <w:tcPr>
            <w:tcW w:w="3089" w:type="dxa"/>
            <w:tcBorders>
              <w:top w:val="single" w:color="auto" w:sz="8" w:space="0"/>
              <w:bottom w:val="single" w:color="auto" w:sz="8" w:space="0"/>
            </w:tcBorders>
            <w:shd w:val="clear" w:color="auto" w:fill="auto"/>
            <w:vAlign w:val="center"/>
          </w:tcPr>
          <w:p w14:paraId="505D298C">
            <w:pPr>
              <w:pStyle w:val="178"/>
              <w:rPr>
                <w:rFonts w:hint="eastAsia"/>
              </w:rPr>
            </w:pPr>
            <w:r>
              <w:t>对制造／组装过程的影响</w:t>
            </w:r>
          </w:p>
        </w:tc>
      </w:tr>
      <w:tr w14:paraId="46D16C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3087" w:type="dxa"/>
            <w:tcBorders>
              <w:top w:val="single" w:color="auto" w:sz="8" w:space="0"/>
            </w:tcBorders>
            <w:shd w:val="clear" w:color="auto" w:fill="auto"/>
            <w:vAlign w:val="center"/>
          </w:tcPr>
          <w:p w14:paraId="3FA57C03">
            <w:pPr>
              <w:pStyle w:val="178"/>
              <w:rPr>
                <w:rFonts w:hint="eastAsia"/>
              </w:rPr>
            </w:pPr>
            <w:r>
              <w:t>1</w:t>
            </w:r>
          </w:p>
        </w:tc>
        <w:tc>
          <w:tcPr>
            <w:tcW w:w="3089" w:type="dxa"/>
            <w:tcBorders>
              <w:top w:val="single" w:color="auto" w:sz="8" w:space="0"/>
            </w:tcBorders>
            <w:shd w:val="clear" w:color="auto" w:fill="auto"/>
            <w:vAlign w:val="center"/>
          </w:tcPr>
          <w:p w14:paraId="6F05EC7E">
            <w:pPr>
              <w:pStyle w:val="178"/>
              <w:rPr>
                <w:rFonts w:hint="eastAsia"/>
              </w:rPr>
            </w:pPr>
            <w:r>
              <w:t>无</w:t>
            </w:r>
          </w:p>
        </w:tc>
        <w:tc>
          <w:tcPr>
            <w:tcW w:w="3089" w:type="dxa"/>
            <w:tcBorders>
              <w:top w:val="single" w:color="auto" w:sz="8" w:space="0"/>
            </w:tcBorders>
            <w:shd w:val="clear" w:color="auto" w:fill="auto"/>
            <w:vAlign w:val="center"/>
          </w:tcPr>
          <w:p w14:paraId="3CB00AAC">
            <w:pPr>
              <w:pStyle w:val="178"/>
              <w:jc w:val="both"/>
              <w:rPr>
                <w:rFonts w:hint="eastAsia"/>
              </w:rPr>
            </w:pPr>
            <w:r>
              <w:t>无影响或对操作员造成轻微不便利</w:t>
            </w:r>
          </w:p>
        </w:tc>
      </w:tr>
      <w:tr w14:paraId="1FF4A6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3087" w:type="dxa"/>
            <w:shd w:val="clear" w:color="auto" w:fill="auto"/>
            <w:vAlign w:val="center"/>
          </w:tcPr>
          <w:p w14:paraId="48881C28">
            <w:pPr>
              <w:pStyle w:val="178"/>
              <w:rPr>
                <w:rFonts w:hint="eastAsia"/>
              </w:rPr>
            </w:pPr>
            <w:r>
              <w:t>2</w:t>
            </w:r>
          </w:p>
        </w:tc>
        <w:tc>
          <w:tcPr>
            <w:tcW w:w="3089" w:type="dxa"/>
            <w:shd w:val="clear" w:color="auto" w:fill="auto"/>
            <w:vAlign w:val="center"/>
          </w:tcPr>
          <w:p w14:paraId="57F9C812">
            <w:pPr>
              <w:pStyle w:val="178"/>
              <w:rPr>
                <w:rFonts w:hint="eastAsia"/>
              </w:rPr>
            </w:pPr>
            <w:r>
              <w:t>很低</w:t>
            </w:r>
          </w:p>
        </w:tc>
        <w:tc>
          <w:tcPr>
            <w:tcW w:w="3089" w:type="dxa"/>
            <w:shd w:val="clear" w:color="auto" w:fill="auto"/>
            <w:vAlign w:val="center"/>
          </w:tcPr>
          <w:p w14:paraId="12E67611">
            <w:pPr>
              <w:pStyle w:val="178"/>
              <w:jc w:val="both"/>
              <w:rPr>
                <w:rFonts w:hint="eastAsia"/>
              </w:rPr>
            </w:pPr>
            <w:r>
              <w:t>无需返工，轻微延长工时，不影响下游过程；无零部件损坏或废弃</w:t>
            </w:r>
          </w:p>
        </w:tc>
      </w:tr>
      <w:tr w14:paraId="4CCC5C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3087" w:type="dxa"/>
            <w:shd w:val="clear" w:color="auto" w:fill="auto"/>
            <w:vAlign w:val="center"/>
          </w:tcPr>
          <w:p w14:paraId="4A6408EE">
            <w:pPr>
              <w:pStyle w:val="178"/>
              <w:rPr>
                <w:rFonts w:hint="eastAsia"/>
              </w:rPr>
            </w:pPr>
            <w:r>
              <w:t>3</w:t>
            </w:r>
          </w:p>
        </w:tc>
        <w:tc>
          <w:tcPr>
            <w:tcW w:w="3089" w:type="dxa"/>
            <w:shd w:val="clear" w:color="auto" w:fill="auto"/>
            <w:vAlign w:val="center"/>
          </w:tcPr>
          <w:p w14:paraId="5A6501BD">
            <w:pPr>
              <w:pStyle w:val="178"/>
              <w:rPr>
                <w:rFonts w:hint="eastAsia"/>
              </w:rPr>
            </w:pPr>
            <w:r>
              <w:t>低</w:t>
            </w:r>
          </w:p>
        </w:tc>
        <w:tc>
          <w:tcPr>
            <w:tcW w:w="3089" w:type="dxa"/>
            <w:shd w:val="clear" w:color="auto" w:fill="auto"/>
            <w:vAlign w:val="center"/>
          </w:tcPr>
          <w:p w14:paraId="1764FEF1">
            <w:pPr>
              <w:pStyle w:val="178"/>
              <w:jc w:val="both"/>
            </w:pPr>
            <w:r>
              <w:t>当前工序内返工，显著延长工时，轻微影响下游过程；</w:t>
            </w:r>
          </w:p>
          <w:p w14:paraId="3A5D4D1C">
            <w:pPr>
              <w:pStyle w:val="178"/>
              <w:jc w:val="both"/>
              <w:rPr>
                <w:rFonts w:hint="eastAsia"/>
              </w:rPr>
            </w:pPr>
            <w:r>
              <w:t>次要零部件损坏或废弃</w:t>
            </w:r>
          </w:p>
        </w:tc>
      </w:tr>
      <w:tr w14:paraId="40099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8" w:hRule="atLeast"/>
          <w:jc w:val="center"/>
        </w:trPr>
        <w:tc>
          <w:tcPr>
            <w:tcW w:w="3087" w:type="dxa"/>
            <w:shd w:val="clear" w:color="auto" w:fill="auto"/>
            <w:vAlign w:val="center"/>
          </w:tcPr>
          <w:p w14:paraId="7682CA6E">
            <w:pPr>
              <w:pStyle w:val="178"/>
              <w:rPr>
                <w:rFonts w:hint="eastAsia"/>
              </w:rPr>
            </w:pPr>
            <w:r>
              <w:t>4</w:t>
            </w:r>
          </w:p>
        </w:tc>
        <w:tc>
          <w:tcPr>
            <w:tcW w:w="3089" w:type="dxa"/>
            <w:shd w:val="clear" w:color="auto" w:fill="auto"/>
            <w:vAlign w:val="center"/>
          </w:tcPr>
          <w:p w14:paraId="2C7EC724">
            <w:pPr>
              <w:pStyle w:val="178"/>
              <w:rPr>
                <w:rFonts w:hint="eastAsia"/>
              </w:rPr>
            </w:pPr>
            <w:r>
              <w:t>中等</w:t>
            </w:r>
          </w:p>
        </w:tc>
        <w:tc>
          <w:tcPr>
            <w:tcW w:w="3089" w:type="dxa"/>
            <w:shd w:val="clear" w:color="auto" w:fill="auto"/>
            <w:vAlign w:val="center"/>
          </w:tcPr>
          <w:p w14:paraId="017AE246">
            <w:pPr>
              <w:pStyle w:val="178"/>
              <w:jc w:val="both"/>
              <w:rPr>
                <w:rFonts w:hint="eastAsia"/>
              </w:rPr>
            </w:pPr>
            <w:r>
              <w:t>脱线返工，严重影响下游过程；重要零部件、产品损坏或废弃；设备、工装或夹具的轻微损伤</w:t>
            </w:r>
          </w:p>
        </w:tc>
      </w:tr>
      <w:tr w14:paraId="42CF52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8" w:hRule="atLeast"/>
          <w:jc w:val="center"/>
        </w:trPr>
        <w:tc>
          <w:tcPr>
            <w:tcW w:w="3087" w:type="dxa"/>
            <w:shd w:val="clear" w:color="auto" w:fill="auto"/>
            <w:vAlign w:val="center"/>
          </w:tcPr>
          <w:p w14:paraId="1BCA7EF3">
            <w:pPr>
              <w:pStyle w:val="178"/>
              <w:rPr>
                <w:rFonts w:hint="eastAsia"/>
              </w:rPr>
            </w:pPr>
            <w:r>
              <w:t>5</w:t>
            </w:r>
          </w:p>
        </w:tc>
        <w:tc>
          <w:tcPr>
            <w:tcW w:w="3089" w:type="dxa"/>
            <w:shd w:val="clear" w:color="auto" w:fill="auto"/>
            <w:vAlign w:val="center"/>
          </w:tcPr>
          <w:p w14:paraId="443C9384">
            <w:pPr>
              <w:pStyle w:val="178"/>
              <w:rPr>
                <w:rFonts w:hint="eastAsia"/>
              </w:rPr>
            </w:pPr>
            <w:r>
              <w:t>高</w:t>
            </w:r>
          </w:p>
        </w:tc>
        <w:tc>
          <w:tcPr>
            <w:tcW w:w="3089" w:type="dxa"/>
            <w:shd w:val="clear" w:color="auto" w:fill="auto"/>
            <w:vAlign w:val="center"/>
          </w:tcPr>
          <w:p w14:paraId="49E86AB3">
            <w:pPr>
              <w:pStyle w:val="178"/>
              <w:jc w:val="both"/>
            </w:pPr>
            <w:r>
              <w:t>大量返工或流水线停止；</w:t>
            </w:r>
          </w:p>
          <w:p w14:paraId="12E1D0D9">
            <w:pPr>
              <w:pStyle w:val="178"/>
              <w:jc w:val="both"/>
              <w:rPr>
                <w:rFonts w:hint="eastAsia"/>
              </w:rPr>
            </w:pPr>
            <w:r>
              <w:t>设备、机器、工装或夹具损坏。对操作或操作员有危害</w:t>
            </w:r>
          </w:p>
        </w:tc>
      </w:tr>
      <w:tr w14:paraId="76F66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3087" w:type="dxa"/>
            <w:shd w:val="clear" w:color="auto" w:fill="auto"/>
            <w:vAlign w:val="center"/>
          </w:tcPr>
          <w:p w14:paraId="4D172803">
            <w:pPr>
              <w:pStyle w:val="178"/>
              <w:rPr>
                <w:rFonts w:hint="eastAsia"/>
              </w:rPr>
            </w:pPr>
            <w:r>
              <w:t>6</w:t>
            </w:r>
          </w:p>
        </w:tc>
        <w:tc>
          <w:tcPr>
            <w:tcW w:w="3089" w:type="dxa"/>
            <w:shd w:val="clear" w:color="auto" w:fill="auto"/>
            <w:vAlign w:val="center"/>
          </w:tcPr>
          <w:p w14:paraId="11F6E057">
            <w:pPr>
              <w:pStyle w:val="178"/>
              <w:rPr>
                <w:rFonts w:hint="eastAsia"/>
              </w:rPr>
            </w:pPr>
            <w:r>
              <w:t>很高</w:t>
            </w:r>
          </w:p>
        </w:tc>
        <w:tc>
          <w:tcPr>
            <w:tcW w:w="3089" w:type="dxa"/>
            <w:shd w:val="clear" w:color="auto" w:fill="auto"/>
            <w:vAlign w:val="center"/>
          </w:tcPr>
          <w:p w14:paraId="75410215">
            <w:pPr>
              <w:pStyle w:val="178"/>
              <w:jc w:val="both"/>
              <w:rPr>
                <w:rFonts w:hint="eastAsia"/>
              </w:rPr>
            </w:pPr>
            <w:r>
              <w:t>器械相关的死亡（操作人员）</w:t>
            </w:r>
          </w:p>
        </w:tc>
      </w:tr>
      <w:tr w14:paraId="380CB9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9265" w:type="dxa"/>
            <w:gridSpan w:val="3"/>
            <w:shd w:val="clear" w:color="auto" w:fill="auto"/>
            <w:vAlign w:val="center"/>
          </w:tcPr>
          <w:p w14:paraId="7A55ED02">
            <w:pPr>
              <w:pStyle w:val="178"/>
              <w:jc w:val="both"/>
            </w:pPr>
            <w:r>
              <w:rPr>
                <w:rFonts w:hint="eastAsia" w:ascii="宋体" w:hAnsi="Times New Roman" w:eastAsia="宋体" w:cs="Times New Roman"/>
                <w:kern w:val="0"/>
                <w:sz w:val="18"/>
                <w:highlight w:val="none"/>
              </w:rPr>
              <w:t>注：企业根据自身情况可进行等级分值的调整，比如调整为1~10分。</w:t>
            </w:r>
          </w:p>
        </w:tc>
      </w:tr>
    </w:tbl>
    <w:p w14:paraId="6F274C33">
      <w:pPr>
        <w:pStyle w:val="77"/>
        <w:spacing w:before="120" w:after="120"/>
      </w:pPr>
      <w:r>
        <w:rPr>
          <w:rFonts w:hint="eastAsia"/>
        </w:rPr>
        <w:t>医疗机器人制造过程发生概率</w:t>
      </w:r>
    </w:p>
    <w:tbl>
      <w:tblPr>
        <w:tblStyle w:val="27"/>
        <w:tblW w:w="9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4"/>
        <w:gridCol w:w="3116"/>
        <w:gridCol w:w="3116"/>
      </w:tblGrid>
      <w:tr w14:paraId="45B50C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7" w:hRule="atLeast"/>
          <w:tblHeader/>
          <w:jc w:val="center"/>
        </w:trPr>
        <w:tc>
          <w:tcPr>
            <w:tcW w:w="3114" w:type="dxa"/>
            <w:tcBorders>
              <w:top w:val="single" w:color="auto" w:sz="8" w:space="0"/>
              <w:bottom w:val="single" w:color="auto" w:sz="8" w:space="0"/>
            </w:tcBorders>
            <w:shd w:val="clear" w:color="auto" w:fill="auto"/>
            <w:vAlign w:val="center"/>
          </w:tcPr>
          <w:p w14:paraId="2AB2974F">
            <w:pPr>
              <w:pStyle w:val="178"/>
              <w:rPr>
                <w:rFonts w:hint="eastAsia"/>
              </w:rPr>
            </w:pPr>
            <w:r>
              <w:t>等级</w:t>
            </w:r>
          </w:p>
        </w:tc>
        <w:tc>
          <w:tcPr>
            <w:tcW w:w="3116" w:type="dxa"/>
            <w:tcBorders>
              <w:top w:val="single" w:color="auto" w:sz="8" w:space="0"/>
              <w:bottom w:val="single" w:color="auto" w:sz="8" w:space="0"/>
            </w:tcBorders>
            <w:shd w:val="clear" w:color="auto" w:fill="auto"/>
            <w:vAlign w:val="center"/>
          </w:tcPr>
          <w:p w14:paraId="5905B72A">
            <w:pPr>
              <w:pStyle w:val="178"/>
              <w:rPr>
                <w:rFonts w:hint="eastAsia"/>
              </w:rPr>
            </w:pPr>
            <w:r>
              <w:t>定性描述</w:t>
            </w:r>
          </w:p>
        </w:tc>
        <w:tc>
          <w:tcPr>
            <w:tcW w:w="3116" w:type="dxa"/>
            <w:tcBorders>
              <w:top w:val="single" w:color="auto" w:sz="8" w:space="0"/>
              <w:bottom w:val="single" w:color="auto" w:sz="8" w:space="0"/>
            </w:tcBorders>
            <w:shd w:val="clear" w:color="auto" w:fill="auto"/>
            <w:vAlign w:val="center"/>
          </w:tcPr>
          <w:p w14:paraId="369C9171">
            <w:pPr>
              <w:pStyle w:val="178"/>
              <w:rPr>
                <w:rFonts w:hint="eastAsia"/>
              </w:rPr>
            </w:pPr>
            <w:r>
              <w:t>概率</w:t>
            </w:r>
          </w:p>
        </w:tc>
      </w:tr>
      <w:tr w14:paraId="6000B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3114" w:type="dxa"/>
            <w:tcBorders>
              <w:top w:val="single" w:color="auto" w:sz="8" w:space="0"/>
            </w:tcBorders>
            <w:shd w:val="clear" w:color="auto" w:fill="auto"/>
            <w:vAlign w:val="center"/>
          </w:tcPr>
          <w:p w14:paraId="1E4C7F54">
            <w:pPr>
              <w:pStyle w:val="178"/>
              <w:rPr>
                <w:rFonts w:hint="eastAsia"/>
              </w:rPr>
            </w:pPr>
            <w:r>
              <w:t>1</w:t>
            </w:r>
          </w:p>
        </w:tc>
        <w:tc>
          <w:tcPr>
            <w:tcW w:w="3116" w:type="dxa"/>
            <w:tcBorders>
              <w:top w:val="single" w:color="auto" w:sz="8" w:space="0"/>
            </w:tcBorders>
            <w:shd w:val="clear" w:color="auto" w:fill="auto"/>
            <w:vAlign w:val="center"/>
          </w:tcPr>
          <w:p w14:paraId="521A2ADD">
            <w:pPr>
              <w:pStyle w:val="178"/>
              <w:rPr>
                <w:rFonts w:hint="eastAsia"/>
              </w:rPr>
            </w:pPr>
            <w:r>
              <w:t>几乎不可能</w:t>
            </w:r>
          </w:p>
        </w:tc>
        <w:tc>
          <w:tcPr>
            <w:tcW w:w="3116" w:type="dxa"/>
            <w:tcBorders>
              <w:top w:val="single" w:color="auto" w:sz="8" w:space="0"/>
            </w:tcBorders>
            <w:shd w:val="clear" w:color="auto" w:fill="auto"/>
            <w:vAlign w:val="center"/>
          </w:tcPr>
          <w:p w14:paraId="75BA95A8">
            <w:pPr>
              <w:pStyle w:val="178"/>
              <w:rPr>
                <w:rFonts w:hint="eastAsia"/>
              </w:rPr>
            </w:pPr>
            <w:r>
              <w:t>≤0.001%</w:t>
            </w:r>
          </w:p>
        </w:tc>
      </w:tr>
      <w:tr w14:paraId="421A7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3114" w:type="dxa"/>
            <w:shd w:val="clear" w:color="auto" w:fill="auto"/>
            <w:vAlign w:val="center"/>
          </w:tcPr>
          <w:p w14:paraId="73C7FE79">
            <w:pPr>
              <w:pStyle w:val="178"/>
              <w:rPr>
                <w:rFonts w:hint="eastAsia"/>
              </w:rPr>
            </w:pPr>
            <w:r>
              <w:t>2</w:t>
            </w:r>
          </w:p>
        </w:tc>
        <w:tc>
          <w:tcPr>
            <w:tcW w:w="3116" w:type="dxa"/>
            <w:shd w:val="clear" w:color="auto" w:fill="auto"/>
            <w:vAlign w:val="center"/>
          </w:tcPr>
          <w:p w14:paraId="12ABF6E8">
            <w:pPr>
              <w:pStyle w:val="178"/>
              <w:rPr>
                <w:rFonts w:hint="eastAsia"/>
              </w:rPr>
            </w:pPr>
            <w:r>
              <w:t>极少</w:t>
            </w:r>
          </w:p>
        </w:tc>
        <w:tc>
          <w:tcPr>
            <w:tcW w:w="3116" w:type="dxa"/>
            <w:shd w:val="clear" w:color="auto" w:fill="auto"/>
            <w:vAlign w:val="center"/>
          </w:tcPr>
          <w:p w14:paraId="39908605">
            <w:pPr>
              <w:pStyle w:val="178"/>
              <w:rPr>
                <w:rFonts w:hint="eastAsia"/>
              </w:rPr>
            </w:pPr>
            <w:r>
              <w:t>≤0.005%</w:t>
            </w:r>
          </w:p>
        </w:tc>
      </w:tr>
      <w:tr w14:paraId="27F3E6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3114" w:type="dxa"/>
            <w:shd w:val="clear" w:color="auto" w:fill="auto"/>
            <w:vAlign w:val="center"/>
          </w:tcPr>
          <w:p w14:paraId="366D6B43">
            <w:pPr>
              <w:pStyle w:val="178"/>
              <w:rPr>
                <w:rFonts w:hint="eastAsia"/>
              </w:rPr>
            </w:pPr>
            <w:r>
              <w:t>3</w:t>
            </w:r>
          </w:p>
        </w:tc>
        <w:tc>
          <w:tcPr>
            <w:tcW w:w="3116" w:type="dxa"/>
            <w:shd w:val="clear" w:color="auto" w:fill="auto"/>
            <w:vAlign w:val="center"/>
          </w:tcPr>
          <w:p w14:paraId="59A2D7D0">
            <w:pPr>
              <w:pStyle w:val="178"/>
              <w:rPr>
                <w:rFonts w:hint="eastAsia"/>
              </w:rPr>
            </w:pPr>
            <w:r>
              <w:t>很少</w:t>
            </w:r>
          </w:p>
        </w:tc>
        <w:tc>
          <w:tcPr>
            <w:tcW w:w="3116" w:type="dxa"/>
            <w:shd w:val="clear" w:color="auto" w:fill="auto"/>
            <w:vAlign w:val="center"/>
          </w:tcPr>
          <w:p w14:paraId="0EA71D6B">
            <w:pPr>
              <w:pStyle w:val="178"/>
              <w:rPr>
                <w:rFonts w:hint="eastAsia"/>
              </w:rPr>
            </w:pPr>
            <w:r>
              <w:t>≤0.01%</w:t>
            </w:r>
          </w:p>
        </w:tc>
      </w:tr>
      <w:tr w14:paraId="4E2A88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3114" w:type="dxa"/>
            <w:shd w:val="clear" w:color="auto" w:fill="auto"/>
            <w:vAlign w:val="center"/>
          </w:tcPr>
          <w:p w14:paraId="2ADBE615">
            <w:pPr>
              <w:pStyle w:val="178"/>
              <w:rPr>
                <w:rFonts w:hint="eastAsia"/>
              </w:rPr>
            </w:pPr>
            <w:r>
              <w:t>4</w:t>
            </w:r>
          </w:p>
        </w:tc>
        <w:tc>
          <w:tcPr>
            <w:tcW w:w="3116" w:type="dxa"/>
            <w:shd w:val="clear" w:color="auto" w:fill="auto"/>
            <w:vAlign w:val="center"/>
          </w:tcPr>
          <w:p w14:paraId="01952A38">
            <w:pPr>
              <w:pStyle w:val="178"/>
              <w:rPr>
                <w:rFonts w:hint="eastAsia"/>
              </w:rPr>
            </w:pPr>
            <w:r>
              <w:t>较少</w:t>
            </w:r>
          </w:p>
        </w:tc>
        <w:tc>
          <w:tcPr>
            <w:tcW w:w="3116" w:type="dxa"/>
            <w:shd w:val="clear" w:color="auto" w:fill="auto"/>
            <w:vAlign w:val="center"/>
          </w:tcPr>
          <w:p w14:paraId="09C61790">
            <w:pPr>
              <w:pStyle w:val="178"/>
              <w:rPr>
                <w:rFonts w:hint="eastAsia"/>
              </w:rPr>
            </w:pPr>
            <w:r>
              <w:t>≤0.05%</w:t>
            </w:r>
          </w:p>
        </w:tc>
      </w:tr>
      <w:tr w14:paraId="6AEE34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3114" w:type="dxa"/>
            <w:shd w:val="clear" w:color="auto" w:fill="auto"/>
            <w:vAlign w:val="center"/>
          </w:tcPr>
          <w:p w14:paraId="7332452A">
            <w:pPr>
              <w:pStyle w:val="178"/>
              <w:rPr>
                <w:rFonts w:hint="eastAsia"/>
              </w:rPr>
            </w:pPr>
            <w:r>
              <w:t>5</w:t>
            </w:r>
          </w:p>
        </w:tc>
        <w:tc>
          <w:tcPr>
            <w:tcW w:w="3116" w:type="dxa"/>
            <w:shd w:val="clear" w:color="auto" w:fill="auto"/>
            <w:vAlign w:val="center"/>
          </w:tcPr>
          <w:p w14:paraId="75E9CFD6">
            <w:pPr>
              <w:pStyle w:val="178"/>
              <w:rPr>
                <w:rFonts w:hint="eastAsia"/>
              </w:rPr>
            </w:pPr>
            <w:r>
              <w:t>一般</w:t>
            </w:r>
          </w:p>
        </w:tc>
        <w:tc>
          <w:tcPr>
            <w:tcW w:w="3116" w:type="dxa"/>
            <w:shd w:val="clear" w:color="auto" w:fill="auto"/>
            <w:vAlign w:val="center"/>
          </w:tcPr>
          <w:p w14:paraId="3CBCEC17">
            <w:pPr>
              <w:pStyle w:val="178"/>
              <w:rPr>
                <w:rFonts w:hint="eastAsia"/>
              </w:rPr>
            </w:pPr>
            <w:r>
              <w:t>≤0.1%</w:t>
            </w:r>
          </w:p>
        </w:tc>
      </w:tr>
      <w:tr w14:paraId="7AF027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3114" w:type="dxa"/>
            <w:shd w:val="clear" w:color="auto" w:fill="auto"/>
            <w:vAlign w:val="center"/>
          </w:tcPr>
          <w:p w14:paraId="798076A3">
            <w:pPr>
              <w:pStyle w:val="178"/>
              <w:rPr>
                <w:rFonts w:hint="eastAsia"/>
              </w:rPr>
            </w:pPr>
            <w:r>
              <w:t>6</w:t>
            </w:r>
          </w:p>
        </w:tc>
        <w:tc>
          <w:tcPr>
            <w:tcW w:w="3116" w:type="dxa"/>
            <w:shd w:val="clear" w:color="auto" w:fill="auto"/>
            <w:vAlign w:val="center"/>
          </w:tcPr>
          <w:p w14:paraId="541D394D">
            <w:pPr>
              <w:pStyle w:val="178"/>
              <w:rPr>
                <w:rFonts w:hint="eastAsia"/>
              </w:rPr>
            </w:pPr>
            <w:r>
              <w:t>中高</w:t>
            </w:r>
          </w:p>
        </w:tc>
        <w:tc>
          <w:tcPr>
            <w:tcW w:w="3116" w:type="dxa"/>
            <w:shd w:val="clear" w:color="auto" w:fill="auto"/>
            <w:vAlign w:val="center"/>
          </w:tcPr>
          <w:p w14:paraId="5778C903">
            <w:pPr>
              <w:pStyle w:val="178"/>
              <w:rPr>
                <w:rFonts w:hint="eastAsia"/>
              </w:rPr>
            </w:pPr>
            <w:r>
              <w:t>≤0.5%</w:t>
            </w:r>
          </w:p>
        </w:tc>
      </w:tr>
      <w:tr w14:paraId="777CA1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3114" w:type="dxa"/>
            <w:shd w:val="clear" w:color="auto" w:fill="auto"/>
            <w:vAlign w:val="center"/>
          </w:tcPr>
          <w:p w14:paraId="431D2321">
            <w:pPr>
              <w:pStyle w:val="178"/>
              <w:rPr>
                <w:rFonts w:hint="eastAsia"/>
              </w:rPr>
            </w:pPr>
            <w:r>
              <w:t>7</w:t>
            </w:r>
          </w:p>
        </w:tc>
        <w:tc>
          <w:tcPr>
            <w:tcW w:w="3116" w:type="dxa"/>
            <w:shd w:val="clear" w:color="auto" w:fill="auto"/>
            <w:vAlign w:val="center"/>
          </w:tcPr>
          <w:p w14:paraId="551D14FD">
            <w:pPr>
              <w:pStyle w:val="178"/>
              <w:rPr>
                <w:rFonts w:hint="eastAsia"/>
              </w:rPr>
            </w:pPr>
            <w:r>
              <w:t>较高</w:t>
            </w:r>
          </w:p>
        </w:tc>
        <w:tc>
          <w:tcPr>
            <w:tcW w:w="3116" w:type="dxa"/>
            <w:shd w:val="clear" w:color="auto" w:fill="auto"/>
            <w:vAlign w:val="center"/>
          </w:tcPr>
          <w:p w14:paraId="5C6BD035">
            <w:pPr>
              <w:pStyle w:val="178"/>
              <w:rPr>
                <w:rFonts w:hint="eastAsia"/>
              </w:rPr>
            </w:pPr>
            <w:r>
              <w:t>≤1%</w:t>
            </w:r>
          </w:p>
        </w:tc>
      </w:tr>
      <w:tr w14:paraId="234F3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3114" w:type="dxa"/>
            <w:shd w:val="clear" w:color="auto" w:fill="auto"/>
            <w:vAlign w:val="center"/>
          </w:tcPr>
          <w:p w14:paraId="1256F0A8">
            <w:pPr>
              <w:pStyle w:val="178"/>
              <w:rPr>
                <w:rFonts w:hint="eastAsia"/>
              </w:rPr>
            </w:pPr>
            <w:r>
              <w:t>8</w:t>
            </w:r>
          </w:p>
        </w:tc>
        <w:tc>
          <w:tcPr>
            <w:tcW w:w="3116" w:type="dxa"/>
            <w:shd w:val="clear" w:color="auto" w:fill="auto"/>
            <w:vAlign w:val="center"/>
          </w:tcPr>
          <w:p w14:paraId="0F6423FE">
            <w:pPr>
              <w:pStyle w:val="178"/>
              <w:rPr>
                <w:rFonts w:hint="eastAsia"/>
              </w:rPr>
            </w:pPr>
            <w:r>
              <w:t>很高</w:t>
            </w:r>
          </w:p>
        </w:tc>
        <w:tc>
          <w:tcPr>
            <w:tcW w:w="3116" w:type="dxa"/>
            <w:shd w:val="clear" w:color="auto" w:fill="auto"/>
            <w:vAlign w:val="center"/>
          </w:tcPr>
          <w:p w14:paraId="3082D947">
            <w:pPr>
              <w:pStyle w:val="178"/>
              <w:rPr>
                <w:rFonts w:hint="eastAsia"/>
              </w:rPr>
            </w:pPr>
            <w:r>
              <w:t>≤5%</w:t>
            </w:r>
          </w:p>
        </w:tc>
      </w:tr>
      <w:tr w14:paraId="31390C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3114" w:type="dxa"/>
            <w:shd w:val="clear" w:color="auto" w:fill="auto"/>
            <w:vAlign w:val="center"/>
          </w:tcPr>
          <w:p w14:paraId="4636A116">
            <w:pPr>
              <w:pStyle w:val="178"/>
              <w:rPr>
                <w:rFonts w:hint="eastAsia"/>
              </w:rPr>
            </w:pPr>
            <w:r>
              <w:t>9</w:t>
            </w:r>
          </w:p>
        </w:tc>
        <w:tc>
          <w:tcPr>
            <w:tcW w:w="3116" w:type="dxa"/>
            <w:shd w:val="clear" w:color="auto" w:fill="auto"/>
            <w:vAlign w:val="center"/>
          </w:tcPr>
          <w:p w14:paraId="6EE994C1">
            <w:pPr>
              <w:pStyle w:val="178"/>
              <w:rPr>
                <w:rFonts w:hint="eastAsia"/>
              </w:rPr>
            </w:pPr>
            <w:r>
              <w:t>极高</w:t>
            </w:r>
          </w:p>
        </w:tc>
        <w:tc>
          <w:tcPr>
            <w:tcW w:w="3116" w:type="dxa"/>
            <w:shd w:val="clear" w:color="auto" w:fill="auto"/>
            <w:vAlign w:val="center"/>
          </w:tcPr>
          <w:p w14:paraId="6B8FB2D5">
            <w:pPr>
              <w:pStyle w:val="178"/>
              <w:rPr>
                <w:rFonts w:hint="eastAsia"/>
              </w:rPr>
            </w:pPr>
            <w:r>
              <w:t>≤10%</w:t>
            </w:r>
          </w:p>
        </w:tc>
      </w:tr>
      <w:tr w14:paraId="111114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3114" w:type="dxa"/>
            <w:shd w:val="clear" w:color="auto" w:fill="auto"/>
            <w:vAlign w:val="center"/>
          </w:tcPr>
          <w:p w14:paraId="12F52C73">
            <w:pPr>
              <w:pStyle w:val="178"/>
              <w:rPr>
                <w:rFonts w:hint="eastAsia"/>
              </w:rPr>
            </w:pPr>
            <w:r>
              <w:t>10</w:t>
            </w:r>
          </w:p>
        </w:tc>
        <w:tc>
          <w:tcPr>
            <w:tcW w:w="3116" w:type="dxa"/>
            <w:shd w:val="clear" w:color="auto" w:fill="auto"/>
            <w:vAlign w:val="center"/>
          </w:tcPr>
          <w:p w14:paraId="5E72102E">
            <w:pPr>
              <w:pStyle w:val="178"/>
              <w:rPr>
                <w:rFonts w:hint="eastAsia"/>
              </w:rPr>
            </w:pPr>
            <w:r>
              <w:t>几乎一定</w:t>
            </w:r>
          </w:p>
        </w:tc>
        <w:tc>
          <w:tcPr>
            <w:tcW w:w="3116" w:type="dxa"/>
            <w:shd w:val="clear" w:color="auto" w:fill="auto"/>
            <w:vAlign w:val="center"/>
          </w:tcPr>
          <w:p w14:paraId="540D396E">
            <w:pPr>
              <w:pStyle w:val="178"/>
              <w:rPr>
                <w:rFonts w:hint="eastAsia"/>
              </w:rPr>
            </w:pPr>
            <w:r>
              <w:t>&gt;10%</w:t>
            </w:r>
          </w:p>
        </w:tc>
      </w:tr>
    </w:tbl>
    <w:p w14:paraId="7D61C2B7">
      <w:pPr>
        <w:pStyle w:val="77"/>
        <w:spacing w:before="120" w:after="120"/>
        <w:rPr>
          <w:rFonts w:hint="eastAsia"/>
          <w:highlight w:val="none"/>
        </w:rPr>
      </w:pPr>
      <w:r>
        <w:rPr>
          <w:rFonts w:hint="eastAsia"/>
          <w:highlight w:val="none"/>
        </w:rPr>
        <w:t>医疗机器人制造过程可探测度分值的定义</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082"/>
        <w:gridCol w:w="3911"/>
        <w:gridCol w:w="2997"/>
      </w:tblGrid>
      <w:tr w14:paraId="5A6C74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tblHeader/>
          <w:jc w:val="center"/>
        </w:trPr>
        <w:tc>
          <w:tcPr>
            <w:tcW w:w="2082" w:type="dxa"/>
            <w:tcBorders>
              <w:top w:val="single" w:color="auto" w:sz="8" w:space="0"/>
              <w:bottom w:val="single" w:color="auto" w:sz="8" w:space="0"/>
            </w:tcBorders>
            <w:shd w:val="clear" w:color="auto" w:fill="auto"/>
            <w:vAlign w:val="center"/>
          </w:tcPr>
          <w:p w14:paraId="397FBF36">
            <w:pPr>
              <w:autoSpaceDE w:val="0"/>
              <w:autoSpaceDN w:val="0"/>
              <w:jc w:val="center"/>
              <w:rPr>
                <w:rFonts w:ascii="宋体" w:hAnsi="Times New Roman" w:eastAsia="宋体" w:cs="Times New Roman"/>
                <w:sz w:val="18"/>
                <w:highlight w:val="none"/>
              </w:rPr>
            </w:pPr>
            <w:r>
              <w:rPr>
                <w:rFonts w:hint="eastAsia" w:ascii="宋体" w:hAnsi="Times New Roman" w:eastAsia="宋体" w:cs="Times New Roman"/>
                <w:sz w:val="18"/>
                <w:highlight w:val="none"/>
                <w:lang w:val="en-US" w:eastAsia="zh-CN"/>
              </w:rPr>
              <w:t>探测等级</w:t>
            </w:r>
          </w:p>
        </w:tc>
        <w:tc>
          <w:tcPr>
            <w:tcW w:w="3911" w:type="dxa"/>
            <w:tcBorders>
              <w:top w:val="single" w:color="auto" w:sz="8" w:space="0"/>
              <w:bottom w:val="single" w:color="auto" w:sz="8" w:space="0"/>
            </w:tcBorders>
            <w:shd w:val="clear" w:color="auto" w:fill="auto"/>
            <w:vAlign w:val="center"/>
          </w:tcPr>
          <w:p w14:paraId="5D510C6C">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描述</w:t>
            </w:r>
          </w:p>
        </w:tc>
        <w:tc>
          <w:tcPr>
            <w:tcW w:w="2997" w:type="dxa"/>
            <w:tcBorders>
              <w:top w:val="single" w:color="auto" w:sz="8" w:space="0"/>
              <w:bottom w:val="single" w:color="auto" w:sz="8" w:space="0"/>
            </w:tcBorders>
            <w:shd w:val="clear" w:color="auto" w:fill="auto"/>
            <w:vAlign w:val="center"/>
          </w:tcPr>
          <w:p w14:paraId="5BADFF26">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分值</w:t>
            </w:r>
          </w:p>
        </w:tc>
      </w:tr>
      <w:tr w14:paraId="136725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2082" w:type="dxa"/>
            <w:tcBorders>
              <w:top w:val="single" w:color="auto" w:sz="8" w:space="0"/>
            </w:tcBorders>
            <w:shd w:val="clear" w:color="auto" w:fill="auto"/>
            <w:vAlign w:val="center"/>
          </w:tcPr>
          <w:p w14:paraId="50159B50">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1</w:t>
            </w:r>
          </w:p>
        </w:tc>
        <w:tc>
          <w:tcPr>
            <w:tcW w:w="3911" w:type="dxa"/>
            <w:tcBorders>
              <w:top w:val="single" w:color="auto" w:sz="8" w:space="0"/>
            </w:tcBorders>
            <w:shd w:val="clear" w:color="auto" w:fill="auto"/>
            <w:vAlign w:val="center"/>
          </w:tcPr>
          <w:p w14:paraId="75D4D65E">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连续使用监测</w:t>
            </w:r>
          </w:p>
        </w:tc>
        <w:tc>
          <w:tcPr>
            <w:tcW w:w="2997" w:type="dxa"/>
            <w:tcBorders>
              <w:top w:val="single" w:color="auto" w:sz="8" w:space="0"/>
            </w:tcBorders>
            <w:shd w:val="clear" w:color="auto" w:fill="auto"/>
            <w:vAlign w:val="center"/>
          </w:tcPr>
          <w:p w14:paraId="01542305">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10.0</w:t>
            </w:r>
          </w:p>
        </w:tc>
      </w:tr>
      <w:tr w14:paraId="09CF2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082" w:type="dxa"/>
            <w:shd w:val="clear" w:color="auto" w:fill="auto"/>
            <w:vAlign w:val="center"/>
          </w:tcPr>
          <w:p w14:paraId="341E6AFB">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6</w:t>
            </w:r>
          </w:p>
        </w:tc>
        <w:tc>
          <w:tcPr>
            <w:tcW w:w="3911" w:type="dxa"/>
            <w:shd w:val="clear" w:color="auto" w:fill="auto"/>
            <w:vAlign w:val="center"/>
          </w:tcPr>
          <w:p w14:paraId="5AA37ACE">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100% 自动检测</w:t>
            </w:r>
          </w:p>
        </w:tc>
        <w:tc>
          <w:tcPr>
            <w:tcW w:w="2997" w:type="dxa"/>
            <w:shd w:val="clear" w:color="auto" w:fill="auto"/>
            <w:vAlign w:val="center"/>
          </w:tcPr>
          <w:p w14:paraId="758D1710">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5.0</w:t>
            </w:r>
          </w:p>
        </w:tc>
      </w:tr>
      <w:tr w14:paraId="2BC78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2082" w:type="dxa"/>
            <w:shd w:val="clear" w:color="auto" w:fill="auto"/>
            <w:vAlign w:val="center"/>
          </w:tcPr>
          <w:p w14:paraId="582C5CBB">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7</w:t>
            </w:r>
          </w:p>
        </w:tc>
        <w:tc>
          <w:tcPr>
            <w:tcW w:w="3911" w:type="dxa"/>
            <w:shd w:val="clear" w:color="auto" w:fill="auto"/>
            <w:vAlign w:val="center"/>
          </w:tcPr>
          <w:p w14:paraId="6713A1CD">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100%人工客观检验</w:t>
            </w:r>
          </w:p>
        </w:tc>
        <w:tc>
          <w:tcPr>
            <w:tcW w:w="2997" w:type="dxa"/>
            <w:shd w:val="clear" w:color="auto" w:fill="auto"/>
            <w:vAlign w:val="center"/>
          </w:tcPr>
          <w:p w14:paraId="2746C4CD">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4.0</w:t>
            </w:r>
          </w:p>
        </w:tc>
      </w:tr>
      <w:tr w14:paraId="7F1C6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082" w:type="dxa"/>
            <w:shd w:val="clear" w:color="auto" w:fill="auto"/>
            <w:vAlign w:val="center"/>
          </w:tcPr>
          <w:p w14:paraId="7051A39C">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7</w:t>
            </w:r>
          </w:p>
        </w:tc>
        <w:tc>
          <w:tcPr>
            <w:tcW w:w="3911" w:type="dxa"/>
            <w:shd w:val="clear" w:color="auto" w:fill="auto"/>
            <w:vAlign w:val="center"/>
          </w:tcPr>
          <w:p w14:paraId="1A4372B5">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有效样本统计测试</w:t>
            </w:r>
          </w:p>
        </w:tc>
        <w:tc>
          <w:tcPr>
            <w:tcW w:w="2997" w:type="dxa"/>
            <w:shd w:val="clear" w:color="auto" w:fill="auto"/>
            <w:vAlign w:val="center"/>
          </w:tcPr>
          <w:p w14:paraId="3CF321E9">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4.0</w:t>
            </w:r>
          </w:p>
        </w:tc>
      </w:tr>
      <w:tr w14:paraId="3B2DB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2082" w:type="dxa"/>
            <w:shd w:val="clear" w:color="auto" w:fill="auto"/>
            <w:vAlign w:val="center"/>
          </w:tcPr>
          <w:p w14:paraId="33B55A59">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7</w:t>
            </w:r>
          </w:p>
        </w:tc>
        <w:tc>
          <w:tcPr>
            <w:tcW w:w="3911" w:type="dxa"/>
            <w:shd w:val="clear" w:color="auto" w:fill="auto"/>
            <w:vAlign w:val="center"/>
          </w:tcPr>
          <w:p w14:paraId="231EAF96">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计量型统计过程控制，cpk≥1.33</w:t>
            </w:r>
          </w:p>
        </w:tc>
        <w:tc>
          <w:tcPr>
            <w:tcW w:w="2997" w:type="dxa"/>
            <w:shd w:val="clear" w:color="auto" w:fill="auto"/>
            <w:vAlign w:val="center"/>
          </w:tcPr>
          <w:p w14:paraId="0F293225">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4.0</w:t>
            </w:r>
          </w:p>
        </w:tc>
      </w:tr>
      <w:tr w14:paraId="2F65E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082" w:type="dxa"/>
            <w:shd w:val="clear" w:color="auto" w:fill="auto"/>
            <w:vAlign w:val="center"/>
          </w:tcPr>
          <w:p w14:paraId="68572C12">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9</w:t>
            </w:r>
          </w:p>
        </w:tc>
        <w:tc>
          <w:tcPr>
            <w:tcW w:w="3911" w:type="dxa"/>
            <w:shd w:val="clear" w:color="auto" w:fill="auto"/>
            <w:vAlign w:val="center"/>
          </w:tcPr>
          <w:p w14:paraId="1481CCD0">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100%人工主观检验</w:t>
            </w:r>
          </w:p>
        </w:tc>
        <w:tc>
          <w:tcPr>
            <w:tcW w:w="2997" w:type="dxa"/>
            <w:shd w:val="clear" w:color="auto" w:fill="auto"/>
            <w:vAlign w:val="center"/>
          </w:tcPr>
          <w:p w14:paraId="562ABADE">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3.0</w:t>
            </w:r>
          </w:p>
        </w:tc>
      </w:tr>
      <w:tr w14:paraId="5C6A21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82" w:type="dxa"/>
            <w:shd w:val="clear" w:color="auto" w:fill="auto"/>
            <w:vAlign w:val="center"/>
          </w:tcPr>
          <w:p w14:paraId="6A129C95">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9</w:t>
            </w:r>
          </w:p>
        </w:tc>
        <w:tc>
          <w:tcPr>
            <w:tcW w:w="3911" w:type="dxa"/>
            <w:shd w:val="clear" w:color="auto" w:fill="auto"/>
            <w:vAlign w:val="center"/>
          </w:tcPr>
          <w:p w14:paraId="75E5D089">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计量型统计过程控制，cpk= 1.00</w:t>
            </w:r>
            <w:r>
              <w:rPr>
                <w:rFonts w:hint="eastAsia" w:ascii="宋体" w:hAnsi="Times New Roman" w:eastAsia="宋体" w:cs="Times New Roman"/>
                <w:sz w:val="18"/>
                <w:highlight w:val="none"/>
              </w:rPr>
              <w:t>～</w:t>
            </w:r>
            <w:r>
              <w:rPr>
                <w:rFonts w:ascii="宋体" w:hAnsi="Times New Roman" w:eastAsia="宋体" w:cs="Times New Roman"/>
                <w:sz w:val="18"/>
                <w:highlight w:val="none"/>
              </w:rPr>
              <w:t>1.32</w:t>
            </w:r>
          </w:p>
        </w:tc>
        <w:tc>
          <w:tcPr>
            <w:tcW w:w="2997" w:type="dxa"/>
            <w:shd w:val="clear" w:color="auto" w:fill="auto"/>
            <w:vAlign w:val="center"/>
          </w:tcPr>
          <w:p w14:paraId="451E47FF">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2.0</w:t>
            </w:r>
          </w:p>
        </w:tc>
      </w:tr>
      <w:tr w14:paraId="5B4D99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2082" w:type="dxa"/>
            <w:shd w:val="clear" w:color="auto" w:fill="auto"/>
            <w:vAlign w:val="center"/>
          </w:tcPr>
          <w:p w14:paraId="6FED1F2E">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9</w:t>
            </w:r>
          </w:p>
        </w:tc>
        <w:tc>
          <w:tcPr>
            <w:tcW w:w="3911" w:type="dxa"/>
            <w:shd w:val="clear" w:color="auto" w:fill="auto"/>
            <w:vAlign w:val="center"/>
          </w:tcPr>
          <w:p w14:paraId="4512E8C3">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计数型统计过程控制</w:t>
            </w:r>
          </w:p>
        </w:tc>
        <w:tc>
          <w:tcPr>
            <w:tcW w:w="2997" w:type="dxa"/>
            <w:shd w:val="clear" w:color="auto" w:fill="auto"/>
            <w:vAlign w:val="center"/>
          </w:tcPr>
          <w:p w14:paraId="31D47850">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2.0</w:t>
            </w:r>
          </w:p>
        </w:tc>
      </w:tr>
      <w:tr w14:paraId="123AEA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082" w:type="dxa"/>
            <w:shd w:val="clear" w:color="auto" w:fill="auto"/>
            <w:vAlign w:val="center"/>
          </w:tcPr>
          <w:p w14:paraId="11C54E6D">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10</w:t>
            </w:r>
          </w:p>
        </w:tc>
        <w:tc>
          <w:tcPr>
            <w:tcW w:w="3911" w:type="dxa"/>
            <w:shd w:val="clear" w:color="auto" w:fill="auto"/>
            <w:vAlign w:val="center"/>
          </w:tcPr>
          <w:p w14:paraId="516C19BB">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末件检验</w:t>
            </w:r>
          </w:p>
        </w:tc>
        <w:tc>
          <w:tcPr>
            <w:tcW w:w="2997" w:type="dxa"/>
            <w:shd w:val="clear" w:color="auto" w:fill="auto"/>
            <w:vAlign w:val="center"/>
          </w:tcPr>
          <w:p w14:paraId="51EF961B">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1.0</w:t>
            </w:r>
          </w:p>
        </w:tc>
      </w:tr>
      <w:tr w14:paraId="40BEA1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2082" w:type="dxa"/>
            <w:shd w:val="clear" w:color="auto" w:fill="auto"/>
            <w:vAlign w:val="center"/>
          </w:tcPr>
          <w:p w14:paraId="5A432335">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10</w:t>
            </w:r>
          </w:p>
        </w:tc>
        <w:tc>
          <w:tcPr>
            <w:tcW w:w="3911" w:type="dxa"/>
            <w:shd w:val="clear" w:color="auto" w:fill="auto"/>
            <w:vAlign w:val="center"/>
          </w:tcPr>
          <w:p w14:paraId="49516746">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首件检验</w:t>
            </w:r>
          </w:p>
        </w:tc>
        <w:tc>
          <w:tcPr>
            <w:tcW w:w="2997" w:type="dxa"/>
            <w:shd w:val="clear" w:color="auto" w:fill="auto"/>
            <w:vAlign w:val="center"/>
          </w:tcPr>
          <w:p w14:paraId="25B96AE6">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1.0</w:t>
            </w:r>
          </w:p>
        </w:tc>
      </w:tr>
      <w:tr w14:paraId="4F70B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082" w:type="dxa"/>
            <w:shd w:val="clear" w:color="auto" w:fill="auto"/>
            <w:vAlign w:val="center"/>
          </w:tcPr>
          <w:p w14:paraId="44180722">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10</w:t>
            </w:r>
          </w:p>
        </w:tc>
        <w:tc>
          <w:tcPr>
            <w:tcW w:w="3911" w:type="dxa"/>
            <w:shd w:val="clear" w:color="auto" w:fill="auto"/>
            <w:vAlign w:val="center"/>
          </w:tcPr>
          <w:p w14:paraId="5CBB8A2F">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检验员证明</w:t>
            </w:r>
          </w:p>
        </w:tc>
        <w:tc>
          <w:tcPr>
            <w:tcW w:w="2997" w:type="dxa"/>
            <w:shd w:val="clear" w:color="auto" w:fill="auto"/>
            <w:vAlign w:val="center"/>
          </w:tcPr>
          <w:p w14:paraId="267ECBB7">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1.0</w:t>
            </w:r>
          </w:p>
        </w:tc>
      </w:tr>
      <w:tr w14:paraId="00870B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082" w:type="dxa"/>
            <w:shd w:val="clear" w:color="auto" w:fill="auto"/>
            <w:vAlign w:val="center"/>
          </w:tcPr>
          <w:p w14:paraId="2349586C">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10</w:t>
            </w:r>
          </w:p>
        </w:tc>
        <w:tc>
          <w:tcPr>
            <w:tcW w:w="3911" w:type="dxa"/>
            <w:shd w:val="clear" w:color="auto" w:fill="auto"/>
            <w:vAlign w:val="center"/>
          </w:tcPr>
          <w:p w14:paraId="782A6618">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计量型统计过程控制，cpk≤0.99</w:t>
            </w:r>
          </w:p>
        </w:tc>
        <w:tc>
          <w:tcPr>
            <w:tcW w:w="2997" w:type="dxa"/>
            <w:shd w:val="clear" w:color="auto" w:fill="auto"/>
            <w:vAlign w:val="center"/>
          </w:tcPr>
          <w:p w14:paraId="08C10AD9">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1.0</w:t>
            </w:r>
          </w:p>
        </w:tc>
      </w:tr>
      <w:tr w14:paraId="5C07F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2082" w:type="dxa"/>
            <w:shd w:val="clear" w:color="auto" w:fill="auto"/>
            <w:vAlign w:val="center"/>
          </w:tcPr>
          <w:p w14:paraId="6143AA03">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10</w:t>
            </w:r>
          </w:p>
        </w:tc>
        <w:tc>
          <w:tcPr>
            <w:tcW w:w="3911" w:type="dxa"/>
            <w:shd w:val="clear" w:color="auto" w:fill="auto"/>
            <w:vAlign w:val="center"/>
          </w:tcPr>
          <w:p w14:paraId="30A72198">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抽样检验，不完全统计</w:t>
            </w:r>
          </w:p>
        </w:tc>
        <w:tc>
          <w:tcPr>
            <w:tcW w:w="2997" w:type="dxa"/>
            <w:shd w:val="clear" w:color="auto" w:fill="auto"/>
            <w:vAlign w:val="center"/>
          </w:tcPr>
          <w:p w14:paraId="3DE853D0">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1.0</w:t>
            </w:r>
          </w:p>
        </w:tc>
      </w:tr>
      <w:tr w14:paraId="043E9A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082" w:type="dxa"/>
            <w:shd w:val="clear" w:color="auto" w:fill="auto"/>
            <w:vAlign w:val="center"/>
          </w:tcPr>
          <w:p w14:paraId="01D8A1DD">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10</w:t>
            </w:r>
          </w:p>
        </w:tc>
        <w:tc>
          <w:tcPr>
            <w:tcW w:w="3911" w:type="dxa"/>
            <w:shd w:val="clear" w:color="auto" w:fill="auto"/>
            <w:vAlign w:val="center"/>
          </w:tcPr>
          <w:p w14:paraId="6F4A6584">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未进行分类的其他检测</w:t>
            </w:r>
          </w:p>
        </w:tc>
        <w:tc>
          <w:tcPr>
            <w:tcW w:w="2997" w:type="dxa"/>
            <w:shd w:val="clear" w:color="auto" w:fill="auto"/>
            <w:vAlign w:val="center"/>
          </w:tcPr>
          <w:p w14:paraId="46011991">
            <w:pPr>
              <w:autoSpaceDE w:val="0"/>
              <w:autoSpaceDN w:val="0"/>
              <w:jc w:val="center"/>
              <w:rPr>
                <w:rFonts w:ascii="宋体" w:hAnsi="Times New Roman" w:eastAsia="宋体" w:cs="Times New Roman"/>
                <w:sz w:val="18"/>
                <w:highlight w:val="none"/>
              </w:rPr>
            </w:pPr>
            <w:r>
              <w:rPr>
                <w:rFonts w:ascii="宋体" w:hAnsi="Times New Roman" w:eastAsia="宋体" w:cs="Times New Roman"/>
                <w:sz w:val="18"/>
                <w:highlight w:val="none"/>
              </w:rPr>
              <w:t>1.0</w:t>
            </w:r>
          </w:p>
        </w:tc>
      </w:tr>
      <w:tr w14:paraId="5A7FC2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8990" w:type="dxa"/>
            <w:gridSpan w:val="3"/>
            <w:shd w:val="clear" w:color="auto" w:fill="auto"/>
            <w:vAlign w:val="center"/>
          </w:tcPr>
          <w:p w14:paraId="06189554">
            <w:pPr>
              <w:autoSpaceDE w:val="0"/>
              <w:autoSpaceDN w:val="0"/>
              <w:jc w:val="left"/>
              <w:rPr>
                <w:rFonts w:ascii="宋体" w:hAnsi="Times New Roman" w:eastAsia="宋体" w:cs="Times New Roman"/>
                <w:sz w:val="18"/>
                <w:highlight w:val="none"/>
              </w:rPr>
            </w:pPr>
            <w:r>
              <w:rPr>
                <w:rFonts w:hint="eastAsia" w:ascii="宋体" w:hAnsi="Times New Roman" w:eastAsia="宋体" w:cs="Times New Roman"/>
                <w:sz w:val="18"/>
                <w:szCs w:val="18"/>
                <w:highlight w:val="none"/>
              </w:rPr>
              <w:t>注：CPK为过程能力指数，是衡量制程稳定性的核心指标，用于评估生产过程在满足产品规格（上下限）时的能力。</w:t>
            </w:r>
          </w:p>
        </w:tc>
      </w:tr>
    </w:tbl>
    <w:p w14:paraId="591F4264">
      <w:pPr>
        <w:pStyle w:val="56"/>
      </w:pPr>
    </w:p>
    <w:p w14:paraId="3E960F55">
      <w:pPr>
        <w:pStyle w:val="56"/>
        <w:ind w:firstLine="420"/>
        <w:rPr>
          <w:rFonts w:hint="eastAsia" w:ascii="宋体" w:hAnsi="Times New Roman" w:eastAsia="宋体" w:cs="Times New Roman"/>
        </w:rPr>
      </w:pPr>
      <w:r>
        <w:rPr>
          <w:rFonts w:hint="eastAsia" w:ascii="宋体" w:hAnsi="Times New Roman" w:eastAsia="宋体" w:cs="Times New Roman"/>
        </w:rPr>
        <w:t>根据所识别到的失效模式及分析所得失效原因和失效影响，可以获得机械臂关节 1 的</w:t>
      </w:r>
      <w:r>
        <w:rPr>
          <w:rFonts w:hint="eastAsia" w:ascii="宋体" w:hAnsi="Times New Roman" w:eastAsia="宋体" w:cs="Times New Roman"/>
          <w:lang w:eastAsia="zh-CN"/>
        </w:rPr>
        <w:t>危害性</w:t>
      </w:r>
      <w:r>
        <w:rPr>
          <w:rFonts w:hint="eastAsia" w:ascii="宋体" w:hAnsi="Times New Roman" w:eastAsia="宋体" w:cs="Times New Roman"/>
        </w:rPr>
        <w:t>分析见表 C.</w:t>
      </w:r>
      <w:r>
        <w:rPr>
          <w:rFonts w:hint="eastAsia" w:ascii="宋体" w:hAnsi="Times New Roman" w:eastAsia="宋体" w:cs="Times New Roman"/>
          <w:lang w:val="en-US" w:eastAsia="zh-CN"/>
        </w:rPr>
        <w:t>7</w:t>
      </w:r>
      <w:r>
        <w:rPr>
          <w:rFonts w:hint="eastAsia" w:ascii="宋体" w:hAnsi="Times New Roman" w:eastAsia="宋体" w:cs="Times New Roman"/>
        </w:rPr>
        <w:t>。医疗机器人的</w:t>
      </w:r>
      <w:r>
        <w:rPr>
          <w:rFonts w:hint="eastAsia" w:ascii="宋体" w:hAnsi="Times New Roman" w:eastAsia="宋体" w:cs="Times New Roman"/>
          <w:lang w:eastAsia="zh-CN"/>
        </w:rPr>
        <w:t>危害性</w:t>
      </w:r>
      <w:r>
        <w:rPr>
          <w:rFonts w:hint="eastAsia" w:ascii="宋体" w:hAnsi="Times New Roman" w:eastAsia="宋体" w:cs="Times New Roman"/>
        </w:rPr>
        <w:t>接受准则为：当 RPN 值 ≥120 或 S/O 矩阵中标记为“×”时，风险不可接受，否则风险可接受。 S/O 矩阵可见表 C.</w:t>
      </w:r>
      <w:r>
        <w:rPr>
          <w:rFonts w:hint="eastAsia" w:ascii="宋体" w:hAnsi="Times New Roman" w:eastAsia="宋体" w:cs="Times New Roman"/>
          <w:lang w:val="en-US" w:eastAsia="zh-CN"/>
        </w:rPr>
        <w:t>8</w:t>
      </w:r>
      <w:r>
        <w:rPr>
          <w:rFonts w:hint="eastAsia" w:ascii="宋体" w:hAnsi="Times New Roman" w:eastAsia="宋体" w:cs="Times New Roman"/>
        </w:rPr>
        <w:t>。</w:t>
      </w:r>
    </w:p>
    <w:p w14:paraId="068CD485">
      <w:pPr>
        <w:pStyle w:val="56"/>
        <w:ind w:firstLine="420"/>
        <w:rPr>
          <w:rFonts w:hint="eastAsia"/>
        </w:rPr>
      </w:pPr>
      <w:r>
        <w:rPr>
          <w:rFonts w:hint="eastAsia" w:ascii="宋体" w:hAnsi="Times New Roman" w:eastAsia="宋体" w:cs="Times New Roman"/>
        </w:rPr>
        <w:t>根据 RPN 值及 S/O 矩阵可知，4 项失效模式均可接受。但本着尽量降低</w:t>
      </w:r>
      <w:r>
        <w:rPr>
          <w:rFonts w:hint="eastAsia" w:ascii="宋体" w:hAnsi="Times New Roman" w:eastAsia="宋体" w:cs="Times New Roman"/>
          <w:lang w:eastAsia="zh-CN"/>
        </w:rPr>
        <w:t>危害性</w:t>
      </w:r>
      <w:r>
        <w:rPr>
          <w:rFonts w:hint="eastAsia" w:ascii="宋体" w:hAnsi="Times New Roman" w:eastAsia="宋体" w:cs="Times New Roman"/>
        </w:rPr>
        <w:t>的原则，针对此 4 项潜在失效，工作中均采取了增加检测及补偿措施</w:t>
      </w:r>
      <w:r>
        <w:rPr>
          <w:rFonts w:hint="eastAsia"/>
        </w:rPr>
        <w:t>。</w:t>
      </w:r>
    </w:p>
    <w:p w14:paraId="60C5021F">
      <w:pPr>
        <w:pStyle w:val="77"/>
        <w:spacing w:before="120" w:after="120"/>
        <w:rPr>
          <w:rFonts w:hint="eastAsia"/>
        </w:rPr>
      </w:pPr>
      <w:r>
        <w:rPr>
          <w:rFonts w:hint="eastAsia"/>
        </w:rPr>
        <w:t>机械臂关节 1 装配过程</w:t>
      </w:r>
      <w:r>
        <w:rPr>
          <w:rFonts w:hint="eastAsia"/>
          <w:lang w:eastAsia="zh-CN"/>
        </w:rPr>
        <w:t>危害性</w:t>
      </w:r>
      <w:r>
        <w:rPr>
          <w:rFonts w:hint="eastAsia"/>
        </w:rPr>
        <w:t>分析</w:t>
      </w:r>
    </w:p>
    <w:tbl>
      <w:tblPr>
        <w:tblStyle w:val="27"/>
        <w:tblW w:w="936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70"/>
        <w:gridCol w:w="1170"/>
        <w:gridCol w:w="1171"/>
        <w:gridCol w:w="1171"/>
        <w:gridCol w:w="1171"/>
        <w:gridCol w:w="1171"/>
        <w:gridCol w:w="1171"/>
        <w:gridCol w:w="1173"/>
      </w:tblGrid>
      <w:tr w14:paraId="2076FA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0" w:hRule="atLeast"/>
          <w:tblHeader/>
          <w:jc w:val="center"/>
        </w:trPr>
        <w:tc>
          <w:tcPr>
            <w:tcW w:w="1170" w:type="dxa"/>
            <w:tcBorders>
              <w:top w:val="single" w:color="auto" w:sz="12" w:space="0"/>
              <w:left w:val="single" w:color="auto" w:sz="12" w:space="0"/>
              <w:bottom w:val="single" w:color="auto" w:sz="8" w:space="0"/>
            </w:tcBorders>
            <w:shd w:val="clear" w:color="auto" w:fill="auto"/>
            <w:vAlign w:val="center"/>
          </w:tcPr>
          <w:p w14:paraId="435587A7">
            <w:pPr>
              <w:pStyle w:val="178"/>
              <w:rPr>
                <w:rFonts w:hint="eastAsia"/>
              </w:rPr>
            </w:pPr>
            <w:r>
              <w:t>失效模式</w:t>
            </w:r>
          </w:p>
        </w:tc>
        <w:tc>
          <w:tcPr>
            <w:tcW w:w="1170" w:type="dxa"/>
            <w:tcBorders>
              <w:top w:val="single" w:color="auto" w:sz="12" w:space="0"/>
              <w:bottom w:val="single" w:color="auto" w:sz="8" w:space="0"/>
            </w:tcBorders>
            <w:shd w:val="clear" w:color="auto" w:fill="auto"/>
            <w:vAlign w:val="center"/>
          </w:tcPr>
          <w:p w14:paraId="1BA5B121">
            <w:pPr>
              <w:pStyle w:val="178"/>
              <w:rPr>
                <w:rFonts w:hint="eastAsia"/>
              </w:rPr>
            </w:pPr>
            <w:r>
              <w:t>失效原因</w:t>
            </w:r>
          </w:p>
        </w:tc>
        <w:tc>
          <w:tcPr>
            <w:tcW w:w="1171" w:type="dxa"/>
            <w:tcBorders>
              <w:top w:val="single" w:color="auto" w:sz="12" w:space="0"/>
              <w:bottom w:val="single" w:color="auto" w:sz="8" w:space="0"/>
            </w:tcBorders>
            <w:shd w:val="clear" w:color="auto" w:fill="auto"/>
            <w:vAlign w:val="center"/>
          </w:tcPr>
          <w:p w14:paraId="47787900">
            <w:pPr>
              <w:pStyle w:val="178"/>
              <w:rPr>
                <w:rFonts w:hint="eastAsia"/>
              </w:rPr>
            </w:pPr>
            <w:r>
              <w:t>局部影响</w:t>
            </w:r>
          </w:p>
        </w:tc>
        <w:tc>
          <w:tcPr>
            <w:tcW w:w="1171" w:type="dxa"/>
            <w:tcBorders>
              <w:top w:val="single" w:color="auto" w:sz="12" w:space="0"/>
              <w:bottom w:val="single" w:color="auto" w:sz="8" w:space="0"/>
            </w:tcBorders>
            <w:shd w:val="clear" w:color="auto" w:fill="auto"/>
            <w:vAlign w:val="center"/>
          </w:tcPr>
          <w:p w14:paraId="0888CCF7">
            <w:pPr>
              <w:pStyle w:val="178"/>
              <w:rPr>
                <w:rFonts w:hint="eastAsia"/>
              </w:rPr>
            </w:pPr>
            <w:r>
              <w:t>最终影响</w:t>
            </w:r>
          </w:p>
        </w:tc>
        <w:tc>
          <w:tcPr>
            <w:tcW w:w="1171" w:type="dxa"/>
            <w:tcBorders>
              <w:top w:val="single" w:color="auto" w:sz="12" w:space="0"/>
              <w:bottom w:val="single" w:color="auto" w:sz="8" w:space="0"/>
            </w:tcBorders>
            <w:shd w:val="clear" w:color="auto" w:fill="auto"/>
            <w:vAlign w:val="center"/>
          </w:tcPr>
          <w:p w14:paraId="21A80DE3">
            <w:pPr>
              <w:pStyle w:val="178"/>
              <w:rPr>
                <w:rFonts w:hint="eastAsia"/>
              </w:rPr>
            </w:pPr>
            <w:r>
              <w:rPr>
                <w:rFonts w:hint="eastAsia"/>
                <w:lang w:eastAsia="zh-CN"/>
              </w:rPr>
              <w:t>严重度</w:t>
            </w:r>
            <w:r>
              <w:t>(S)</w:t>
            </w:r>
          </w:p>
        </w:tc>
        <w:tc>
          <w:tcPr>
            <w:tcW w:w="1171" w:type="dxa"/>
            <w:tcBorders>
              <w:top w:val="single" w:color="auto" w:sz="12" w:space="0"/>
              <w:bottom w:val="single" w:color="auto" w:sz="8" w:space="0"/>
            </w:tcBorders>
            <w:shd w:val="clear" w:color="auto" w:fill="auto"/>
            <w:vAlign w:val="center"/>
          </w:tcPr>
          <w:p w14:paraId="5E65F738">
            <w:pPr>
              <w:pStyle w:val="232"/>
              <w:spacing w:before="84" w:line="184" w:lineRule="auto"/>
              <w:ind w:left="58"/>
              <w:jc w:val="center"/>
              <w:rPr>
                <w:rFonts w:hint="eastAsia"/>
              </w:rPr>
            </w:pPr>
            <w:r>
              <w:rPr>
                <w:rFonts w:ascii="宋体" w:hAnsi="Times New Roman" w:eastAsia="宋体" w:cs="Times New Roman"/>
                <w:snapToGrid/>
                <w:color w:val="auto"/>
                <w:sz w:val="18"/>
                <w:szCs w:val="20"/>
                <w:lang w:eastAsia="zh-CN"/>
              </w:rPr>
              <w:t>发生概率</w:t>
            </w:r>
            <w:r>
              <w:rPr>
                <w:rFonts w:ascii="宋体" w:hAnsi="Times New Roman" w:cs="Times New Roman"/>
              </w:rPr>
              <w:t>(</w:t>
            </w:r>
            <w:r>
              <w:rPr>
                <w:rFonts w:ascii="宋体" w:hAnsi="Times New Roman" w:cs="Times New Roman"/>
                <w:sz w:val="18"/>
                <w:szCs w:val="20"/>
              </w:rPr>
              <w:t>O</w:t>
            </w:r>
            <w:r>
              <w:rPr>
                <w:rFonts w:ascii="宋体" w:hAnsi="Times New Roman" w:cs="Times New Roman"/>
              </w:rPr>
              <w:t>)</w:t>
            </w:r>
          </w:p>
        </w:tc>
        <w:tc>
          <w:tcPr>
            <w:tcW w:w="1171" w:type="dxa"/>
            <w:tcBorders>
              <w:top w:val="single" w:color="auto" w:sz="12" w:space="0"/>
              <w:bottom w:val="single" w:color="auto" w:sz="8" w:space="0"/>
            </w:tcBorders>
            <w:shd w:val="clear" w:color="auto" w:fill="auto"/>
            <w:vAlign w:val="center"/>
          </w:tcPr>
          <w:p w14:paraId="32CEB498">
            <w:pPr>
              <w:pStyle w:val="232"/>
              <w:spacing w:before="83" w:line="184" w:lineRule="auto"/>
              <w:ind w:left="60"/>
              <w:jc w:val="center"/>
              <w:rPr>
                <w:rFonts w:hint="eastAsia"/>
              </w:rPr>
            </w:pPr>
            <w:r>
              <w:rPr>
                <w:rFonts w:ascii="宋体" w:hAnsi="Times New Roman" w:eastAsia="宋体" w:cs="Times New Roman"/>
                <w:snapToGrid/>
                <w:color w:val="auto"/>
                <w:sz w:val="18"/>
                <w:szCs w:val="20"/>
                <w:lang w:eastAsia="zh-CN"/>
              </w:rPr>
              <w:t>可探测度</w:t>
            </w:r>
            <w:r>
              <w:rPr>
                <w:rFonts w:ascii="宋体" w:hAnsi="Times New Roman" w:cs="Times New Roman"/>
              </w:rPr>
              <w:t>(</w:t>
            </w:r>
            <w:r>
              <w:rPr>
                <w:rFonts w:ascii="宋体" w:hAnsi="Times New Roman" w:cs="Times New Roman"/>
                <w:sz w:val="18"/>
                <w:szCs w:val="20"/>
              </w:rPr>
              <w:t>D</w:t>
            </w:r>
            <w:r>
              <w:rPr>
                <w:rFonts w:ascii="宋体" w:hAnsi="Times New Roman" w:cs="Times New Roman"/>
              </w:rPr>
              <w:t>)</w:t>
            </w:r>
          </w:p>
        </w:tc>
        <w:tc>
          <w:tcPr>
            <w:tcW w:w="1171" w:type="dxa"/>
            <w:tcBorders>
              <w:top w:val="single" w:color="auto" w:sz="12" w:space="0"/>
              <w:bottom w:val="single" w:color="auto" w:sz="8" w:space="0"/>
              <w:right w:val="single" w:color="auto" w:sz="12" w:space="0"/>
            </w:tcBorders>
            <w:shd w:val="clear" w:color="auto" w:fill="auto"/>
            <w:vAlign w:val="center"/>
          </w:tcPr>
          <w:p w14:paraId="47B7B7A4">
            <w:pPr>
              <w:pStyle w:val="178"/>
              <w:rPr>
                <w:rFonts w:hint="eastAsia"/>
              </w:rPr>
            </w:pPr>
            <w:r>
              <w:t>RPN</w:t>
            </w:r>
          </w:p>
        </w:tc>
      </w:tr>
      <w:tr w14:paraId="2E0D6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1170" w:type="dxa"/>
            <w:tcBorders>
              <w:top w:val="single" w:color="auto" w:sz="8" w:space="0"/>
              <w:left w:val="single" w:color="auto" w:sz="12" w:space="0"/>
            </w:tcBorders>
            <w:shd w:val="clear" w:color="auto" w:fill="auto"/>
            <w:vAlign w:val="center"/>
          </w:tcPr>
          <w:p w14:paraId="5122CC5A">
            <w:pPr>
              <w:pStyle w:val="178"/>
              <w:rPr>
                <w:rFonts w:hint="eastAsia"/>
              </w:rPr>
            </w:pPr>
            <w:r>
              <w:t>关节转动摩擦力过大</w:t>
            </w:r>
          </w:p>
        </w:tc>
        <w:tc>
          <w:tcPr>
            <w:tcW w:w="1170" w:type="dxa"/>
            <w:tcBorders>
              <w:top w:val="single" w:color="auto" w:sz="8" w:space="0"/>
            </w:tcBorders>
            <w:shd w:val="clear" w:color="auto" w:fill="auto"/>
            <w:vAlign w:val="center"/>
          </w:tcPr>
          <w:p w14:paraId="103966D0">
            <w:pPr>
              <w:pStyle w:val="178"/>
              <w:rPr>
                <w:rFonts w:hint="eastAsia"/>
              </w:rPr>
            </w:pPr>
            <w:r>
              <w:t>CIMRS添加过多</w:t>
            </w:r>
          </w:p>
        </w:tc>
        <w:tc>
          <w:tcPr>
            <w:tcW w:w="1171" w:type="dxa"/>
            <w:tcBorders>
              <w:top w:val="single" w:color="auto" w:sz="8" w:space="0"/>
            </w:tcBorders>
            <w:shd w:val="clear" w:color="auto" w:fill="auto"/>
            <w:vAlign w:val="center"/>
          </w:tcPr>
          <w:p w14:paraId="31AAE4AA">
            <w:pPr>
              <w:pStyle w:val="178"/>
              <w:rPr>
                <w:rFonts w:hint="eastAsia"/>
              </w:rPr>
            </w:pPr>
            <w:r>
              <w:t>当前工序内返工，显著延长工时</w:t>
            </w:r>
          </w:p>
        </w:tc>
        <w:tc>
          <w:tcPr>
            <w:tcW w:w="1171" w:type="dxa"/>
            <w:tcBorders>
              <w:top w:val="single" w:color="auto" w:sz="8" w:space="0"/>
            </w:tcBorders>
            <w:shd w:val="clear" w:color="auto" w:fill="auto"/>
            <w:vAlign w:val="center"/>
          </w:tcPr>
          <w:p w14:paraId="682DBA9E">
            <w:pPr>
              <w:autoSpaceDE w:val="0"/>
              <w:autoSpaceDN w:val="0"/>
              <w:jc w:val="center"/>
              <w:rPr>
                <w:rFonts w:hint="eastAsia"/>
              </w:rPr>
            </w:pPr>
            <w:r>
              <w:rPr>
                <w:rFonts w:hint="eastAsia" w:ascii="宋体" w:hAnsi="Times New Roman" w:eastAsia="宋体" w:cs="Times New Roman"/>
                <w:sz w:val="18"/>
              </w:rPr>
              <w:t>生产成本增加</w:t>
            </w:r>
          </w:p>
        </w:tc>
        <w:tc>
          <w:tcPr>
            <w:tcW w:w="1171" w:type="dxa"/>
            <w:tcBorders>
              <w:top w:val="single" w:color="auto" w:sz="8" w:space="0"/>
            </w:tcBorders>
            <w:shd w:val="clear" w:color="auto" w:fill="auto"/>
            <w:vAlign w:val="center"/>
          </w:tcPr>
          <w:p w14:paraId="5162BA95">
            <w:pPr>
              <w:pStyle w:val="178"/>
              <w:rPr>
                <w:rFonts w:hint="eastAsia"/>
              </w:rPr>
            </w:pPr>
            <w:r>
              <w:t>3</w:t>
            </w:r>
          </w:p>
        </w:tc>
        <w:tc>
          <w:tcPr>
            <w:tcW w:w="1171" w:type="dxa"/>
            <w:tcBorders>
              <w:top w:val="single" w:color="auto" w:sz="8" w:space="0"/>
            </w:tcBorders>
            <w:shd w:val="clear" w:color="auto" w:fill="auto"/>
            <w:vAlign w:val="center"/>
          </w:tcPr>
          <w:p w14:paraId="65F34FB0">
            <w:pPr>
              <w:pStyle w:val="178"/>
              <w:rPr>
                <w:rFonts w:hint="eastAsia"/>
              </w:rPr>
            </w:pPr>
            <w:r>
              <w:t>4</w:t>
            </w:r>
          </w:p>
        </w:tc>
        <w:tc>
          <w:tcPr>
            <w:tcW w:w="1171" w:type="dxa"/>
            <w:tcBorders>
              <w:top w:val="single" w:color="auto" w:sz="8" w:space="0"/>
            </w:tcBorders>
            <w:shd w:val="clear" w:color="auto" w:fill="auto"/>
            <w:vAlign w:val="center"/>
          </w:tcPr>
          <w:p w14:paraId="3041D91A">
            <w:pPr>
              <w:pStyle w:val="178"/>
              <w:rPr>
                <w:rFonts w:hint="eastAsia"/>
              </w:rPr>
            </w:pPr>
            <w:r>
              <w:t>7</w:t>
            </w:r>
          </w:p>
        </w:tc>
        <w:tc>
          <w:tcPr>
            <w:tcW w:w="1171" w:type="dxa"/>
            <w:tcBorders>
              <w:top w:val="single" w:color="auto" w:sz="8" w:space="0"/>
              <w:right w:val="single" w:color="auto" w:sz="12" w:space="0"/>
            </w:tcBorders>
            <w:shd w:val="clear" w:color="auto" w:fill="auto"/>
            <w:vAlign w:val="center"/>
          </w:tcPr>
          <w:p w14:paraId="102575DC">
            <w:pPr>
              <w:pStyle w:val="178"/>
              <w:rPr>
                <w:rFonts w:hint="eastAsia"/>
              </w:rPr>
            </w:pPr>
            <w:r>
              <w:t>84</w:t>
            </w:r>
          </w:p>
        </w:tc>
      </w:tr>
      <w:tr w14:paraId="4FB76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1170" w:type="dxa"/>
            <w:tcBorders>
              <w:left w:val="single" w:color="auto" w:sz="12" w:space="0"/>
            </w:tcBorders>
            <w:shd w:val="clear" w:color="auto" w:fill="auto"/>
            <w:vAlign w:val="center"/>
          </w:tcPr>
          <w:p w14:paraId="0C911EF7">
            <w:pPr>
              <w:pStyle w:val="178"/>
              <w:rPr>
                <w:rFonts w:hint="eastAsia"/>
              </w:rPr>
            </w:pPr>
            <w:r>
              <w:t>关节工作空间不对称</w:t>
            </w:r>
          </w:p>
        </w:tc>
        <w:tc>
          <w:tcPr>
            <w:tcW w:w="1170" w:type="dxa"/>
            <w:shd w:val="clear" w:color="auto" w:fill="auto"/>
            <w:vAlign w:val="center"/>
          </w:tcPr>
          <w:p w14:paraId="1FEA91B2">
            <w:pPr>
              <w:pStyle w:val="178"/>
              <w:rPr>
                <w:rFonts w:hint="eastAsia"/>
              </w:rPr>
            </w:pPr>
            <w:r>
              <w:t>零位孔安装偏移</w:t>
            </w:r>
          </w:p>
        </w:tc>
        <w:tc>
          <w:tcPr>
            <w:tcW w:w="1171" w:type="dxa"/>
            <w:shd w:val="clear" w:color="auto" w:fill="auto"/>
            <w:vAlign w:val="center"/>
          </w:tcPr>
          <w:p w14:paraId="01E31ABA">
            <w:pPr>
              <w:pStyle w:val="178"/>
              <w:rPr>
                <w:rFonts w:hint="eastAsia"/>
              </w:rPr>
            </w:pPr>
            <w:r>
              <w:t>当前工序内返工，显著延长工时</w:t>
            </w:r>
          </w:p>
        </w:tc>
        <w:tc>
          <w:tcPr>
            <w:tcW w:w="1171" w:type="dxa"/>
            <w:shd w:val="clear" w:color="auto" w:fill="auto"/>
            <w:vAlign w:val="center"/>
          </w:tcPr>
          <w:p w14:paraId="4EDCF23E">
            <w:pPr>
              <w:autoSpaceDE w:val="0"/>
              <w:autoSpaceDN w:val="0"/>
              <w:jc w:val="center"/>
              <w:rPr>
                <w:rFonts w:hint="eastAsia"/>
              </w:rPr>
            </w:pPr>
            <w:r>
              <w:rPr>
                <w:rFonts w:hint="eastAsia" w:ascii="宋体" w:hAnsi="Times New Roman" w:eastAsia="宋体" w:cs="Times New Roman"/>
                <w:sz w:val="18"/>
              </w:rPr>
              <w:t>生产成本增加</w:t>
            </w:r>
          </w:p>
        </w:tc>
        <w:tc>
          <w:tcPr>
            <w:tcW w:w="1171" w:type="dxa"/>
            <w:shd w:val="clear" w:color="auto" w:fill="auto"/>
            <w:vAlign w:val="center"/>
          </w:tcPr>
          <w:p w14:paraId="1CD99EE2">
            <w:pPr>
              <w:pStyle w:val="178"/>
              <w:rPr>
                <w:rFonts w:hint="eastAsia"/>
              </w:rPr>
            </w:pPr>
            <w:r>
              <w:t>3</w:t>
            </w:r>
          </w:p>
        </w:tc>
        <w:tc>
          <w:tcPr>
            <w:tcW w:w="1171" w:type="dxa"/>
            <w:shd w:val="clear" w:color="auto" w:fill="auto"/>
            <w:vAlign w:val="center"/>
          </w:tcPr>
          <w:p w14:paraId="27D029B5">
            <w:pPr>
              <w:pStyle w:val="178"/>
              <w:rPr>
                <w:rFonts w:hint="eastAsia"/>
              </w:rPr>
            </w:pPr>
            <w:r>
              <w:t>4</w:t>
            </w:r>
          </w:p>
        </w:tc>
        <w:tc>
          <w:tcPr>
            <w:tcW w:w="1171" w:type="dxa"/>
            <w:shd w:val="clear" w:color="auto" w:fill="auto"/>
            <w:vAlign w:val="center"/>
          </w:tcPr>
          <w:p w14:paraId="7E32B1A2">
            <w:pPr>
              <w:pStyle w:val="178"/>
              <w:rPr>
                <w:rFonts w:hint="eastAsia"/>
              </w:rPr>
            </w:pPr>
            <w:r>
              <w:t>7</w:t>
            </w:r>
          </w:p>
        </w:tc>
        <w:tc>
          <w:tcPr>
            <w:tcW w:w="1171" w:type="dxa"/>
            <w:tcBorders>
              <w:right w:val="single" w:color="auto" w:sz="12" w:space="0"/>
            </w:tcBorders>
            <w:shd w:val="clear" w:color="auto" w:fill="auto"/>
            <w:vAlign w:val="center"/>
          </w:tcPr>
          <w:p w14:paraId="1BFC817C">
            <w:pPr>
              <w:pStyle w:val="178"/>
              <w:rPr>
                <w:rFonts w:hint="eastAsia"/>
              </w:rPr>
            </w:pPr>
            <w:r>
              <w:t>84</w:t>
            </w:r>
          </w:p>
        </w:tc>
      </w:tr>
      <w:tr w14:paraId="617B9B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1170" w:type="dxa"/>
            <w:tcBorders>
              <w:left w:val="single" w:color="auto" w:sz="12" w:space="0"/>
            </w:tcBorders>
            <w:shd w:val="clear" w:color="auto" w:fill="auto"/>
            <w:vAlign w:val="center"/>
          </w:tcPr>
          <w:p w14:paraId="20729932">
            <w:pPr>
              <w:pStyle w:val="178"/>
              <w:rPr>
                <w:rFonts w:hint="eastAsia"/>
              </w:rPr>
            </w:pPr>
            <w:r>
              <w:t>关节晃动</w:t>
            </w:r>
          </w:p>
        </w:tc>
        <w:tc>
          <w:tcPr>
            <w:tcW w:w="1170" w:type="dxa"/>
            <w:shd w:val="clear" w:color="auto" w:fill="auto"/>
            <w:vAlign w:val="center"/>
          </w:tcPr>
          <w:p w14:paraId="082F5116">
            <w:pPr>
              <w:pStyle w:val="178"/>
              <w:rPr>
                <w:rFonts w:hint="eastAsia"/>
              </w:rPr>
            </w:pPr>
            <w:r>
              <w:t>轴承压盖螺钉拧紧扭矩不足</w:t>
            </w:r>
          </w:p>
        </w:tc>
        <w:tc>
          <w:tcPr>
            <w:tcW w:w="1171" w:type="dxa"/>
            <w:shd w:val="clear" w:color="auto" w:fill="auto"/>
            <w:vAlign w:val="center"/>
          </w:tcPr>
          <w:p w14:paraId="2CBB5587">
            <w:pPr>
              <w:pStyle w:val="178"/>
              <w:rPr>
                <w:rFonts w:hint="eastAsia"/>
              </w:rPr>
            </w:pPr>
            <w:r>
              <w:t>当前工序内返工，显著延长工时</w:t>
            </w:r>
          </w:p>
        </w:tc>
        <w:tc>
          <w:tcPr>
            <w:tcW w:w="1171" w:type="dxa"/>
            <w:shd w:val="clear" w:color="auto" w:fill="auto"/>
            <w:vAlign w:val="center"/>
          </w:tcPr>
          <w:p w14:paraId="2134060D">
            <w:pPr>
              <w:autoSpaceDE w:val="0"/>
              <w:autoSpaceDN w:val="0"/>
              <w:jc w:val="center"/>
              <w:rPr>
                <w:rFonts w:hint="eastAsia"/>
              </w:rPr>
            </w:pPr>
            <w:r>
              <w:rPr>
                <w:rFonts w:hint="eastAsia" w:ascii="宋体" w:hAnsi="Times New Roman" w:eastAsia="宋体" w:cs="Times New Roman"/>
                <w:sz w:val="18"/>
              </w:rPr>
              <w:t>生产成本增加</w:t>
            </w:r>
          </w:p>
        </w:tc>
        <w:tc>
          <w:tcPr>
            <w:tcW w:w="1171" w:type="dxa"/>
            <w:shd w:val="clear" w:color="auto" w:fill="auto"/>
            <w:vAlign w:val="center"/>
          </w:tcPr>
          <w:p w14:paraId="1A365F2F">
            <w:pPr>
              <w:pStyle w:val="178"/>
              <w:rPr>
                <w:rFonts w:hint="eastAsia"/>
              </w:rPr>
            </w:pPr>
            <w:r>
              <w:t>3</w:t>
            </w:r>
          </w:p>
        </w:tc>
        <w:tc>
          <w:tcPr>
            <w:tcW w:w="1171" w:type="dxa"/>
            <w:shd w:val="clear" w:color="auto" w:fill="auto"/>
            <w:vAlign w:val="center"/>
          </w:tcPr>
          <w:p w14:paraId="07E73771">
            <w:pPr>
              <w:pStyle w:val="178"/>
              <w:rPr>
                <w:rFonts w:hint="eastAsia"/>
              </w:rPr>
            </w:pPr>
            <w:r>
              <w:t>4</w:t>
            </w:r>
          </w:p>
        </w:tc>
        <w:tc>
          <w:tcPr>
            <w:tcW w:w="1171" w:type="dxa"/>
            <w:shd w:val="clear" w:color="auto" w:fill="auto"/>
            <w:vAlign w:val="center"/>
          </w:tcPr>
          <w:p w14:paraId="0A14BE21">
            <w:pPr>
              <w:pStyle w:val="178"/>
              <w:rPr>
                <w:rFonts w:hint="eastAsia"/>
              </w:rPr>
            </w:pPr>
            <w:r>
              <w:t>7</w:t>
            </w:r>
          </w:p>
        </w:tc>
        <w:tc>
          <w:tcPr>
            <w:tcW w:w="1171" w:type="dxa"/>
            <w:tcBorders>
              <w:right w:val="single" w:color="auto" w:sz="12" w:space="0"/>
            </w:tcBorders>
            <w:shd w:val="clear" w:color="auto" w:fill="auto"/>
            <w:vAlign w:val="center"/>
          </w:tcPr>
          <w:p w14:paraId="47273964">
            <w:pPr>
              <w:pStyle w:val="178"/>
              <w:rPr>
                <w:rFonts w:hint="eastAsia"/>
              </w:rPr>
            </w:pPr>
            <w:r>
              <w:t>84</w:t>
            </w:r>
          </w:p>
        </w:tc>
      </w:tr>
      <w:tr w14:paraId="7782A0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1" w:hRule="atLeast"/>
          <w:jc w:val="center"/>
        </w:trPr>
        <w:tc>
          <w:tcPr>
            <w:tcW w:w="1170" w:type="dxa"/>
            <w:tcBorders>
              <w:left w:val="single" w:color="auto" w:sz="12" w:space="0"/>
            </w:tcBorders>
            <w:shd w:val="clear" w:color="auto" w:fill="auto"/>
            <w:vAlign w:val="center"/>
          </w:tcPr>
          <w:p w14:paraId="01FBDF08">
            <w:pPr>
              <w:pStyle w:val="178"/>
              <w:rPr>
                <w:rFonts w:hint="eastAsia"/>
              </w:rPr>
            </w:pPr>
            <w:r>
              <w:t>关节运动明显顿挫</w:t>
            </w:r>
          </w:p>
        </w:tc>
        <w:tc>
          <w:tcPr>
            <w:tcW w:w="1170" w:type="dxa"/>
            <w:shd w:val="clear" w:color="auto" w:fill="auto"/>
            <w:vAlign w:val="center"/>
          </w:tcPr>
          <w:p w14:paraId="7A404F52">
            <w:pPr>
              <w:pStyle w:val="178"/>
              <w:rPr>
                <w:rFonts w:hint="eastAsia"/>
              </w:rPr>
            </w:pPr>
            <w:r>
              <w:t>有异物进入传动结构</w:t>
            </w:r>
          </w:p>
        </w:tc>
        <w:tc>
          <w:tcPr>
            <w:tcW w:w="1171" w:type="dxa"/>
            <w:shd w:val="clear" w:color="auto" w:fill="auto"/>
            <w:vAlign w:val="center"/>
          </w:tcPr>
          <w:p w14:paraId="58EE2795">
            <w:pPr>
              <w:pStyle w:val="178"/>
              <w:rPr>
                <w:rFonts w:hint="eastAsia"/>
              </w:rPr>
            </w:pPr>
            <w:r>
              <w:t>工序内返工，显著延长工时</w:t>
            </w:r>
          </w:p>
        </w:tc>
        <w:tc>
          <w:tcPr>
            <w:tcW w:w="1171" w:type="dxa"/>
            <w:shd w:val="clear" w:color="auto" w:fill="auto"/>
            <w:vAlign w:val="center"/>
          </w:tcPr>
          <w:p w14:paraId="6E5A1F5F">
            <w:pPr>
              <w:autoSpaceDE w:val="0"/>
              <w:autoSpaceDN w:val="0"/>
              <w:jc w:val="center"/>
              <w:rPr>
                <w:rFonts w:hint="eastAsia"/>
              </w:rPr>
            </w:pPr>
            <w:r>
              <w:rPr>
                <w:rFonts w:hint="eastAsia" w:ascii="宋体" w:hAnsi="Times New Roman" w:eastAsia="宋体" w:cs="Times New Roman"/>
                <w:sz w:val="18"/>
              </w:rPr>
              <w:t>生产成本增加</w:t>
            </w:r>
          </w:p>
        </w:tc>
        <w:tc>
          <w:tcPr>
            <w:tcW w:w="1171" w:type="dxa"/>
            <w:shd w:val="clear" w:color="auto" w:fill="auto"/>
            <w:vAlign w:val="center"/>
          </w:tcPr>
          <w:p w14:paraId="50ADD8A8">
            <w:pPr>
              <w:pStyle w:val="178"/>
              <w:rPr>
                <w:rFonts w:hint="eastAsia"/>
              </w:rPr>
            </w:pPr>
            <w:r>
              <w:t>3</w:t>
            </w:r>
          </w:p>
        </w:tc>
        <w:tc>
          <w:tcPr>
            <w:tcW w:w="1171" w:type="dxa"/>
            <w:shd w:val="clear" w:color="auto" w:fill="auto"/>
            <w:vAlign w:val="center"/>
          </w:tcPr>
          <w:p w14:paraId="1995780D">
            <w:pPr>
              <w:pStyle w:val="178"/>
              <w:rPr>
                <w:rFonts w:hint="eastAsia"/>
              </w:rPr>
            </w:pPr>
            <w:r>
              <w:t>4</w:t>
            </w:r>
          </w:p>
        </w:tc>
        <w:tc>
          <w:tcPr>
            <w:tcW w:w="1171" w:type="dxa"/>
            <w:shd w:val="clear" w:color="auto" w:fill="auto"/>
            <w:vAlign w:val="center"/>
          </w:tcPr>
          <w:p w14:paraId="776694CD">
            <w:pPr>
              <w:pStyle w:val="178"/>
              <w:rPr>
                <w:rFonts w:hint="eastAsia"/>
              </w:rPr>
            </w:pPr>
            <w:r>
              <w:t>7</w:t>
            </w:r>
          </w:p>
        </w:tc>
        <w:tc>
          <w:tcPr>
            <w:tcW w:w="1171" w:type="dxa"/>
            <w:tcBorders>
              <w:right w:val="single" w:color="auto" w:sz="12" w:space="0"/>
            </w:tcBorders>
            <w:shd w:val="clear" w:color="auto" w:fill="auto"/>
            <w:vAlign w:val="center"/>
          </w:tcPr>
          <w:p w14:paraId="5608CF08">
            <w:pPr>
              <w:pStyle w:val="178"/>
              <w:rPr>
                <w:rFonts w:hint="eastAsia"/>
              </w:rPr>
            </w:pPr>
            <w:r>
              <w:t>84</w:t>
            </w:r>
          </w:p>
        </w:tc>
      </w:tr>
      <w:tr w14:paraId="15585D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9368" w:type="dxa"/>
            <w:gridSpan w:val="8"/>
            <w:tcBorders>
              <w:left w:val="single" w:color="auto" w:sz="12" w:space="0"/>
              <w:bottom w:val="single" w:color="auto" w:sz="12" w:space="0"/>
              <w:right w:val="single" w:color="auto" w:sz="12" w:space="0"/>
            </w:tcBorders>
            <w:shd w:val="clear" w:color="auto" w:fill="auto"/>
            <w:vAlign w:val="center"/>
          </w:tcPr>
          <w:p w14:paraId="11B00641">
            <w:pPr>
              <w:pStyle w:val="179"/>
              <w:numPr>
                <w:ilvl w:val="0"/>
                <w:numId w:val="32"/>
              </w:numPr>
              <w:rPr>
                <w:rFonts w:hint="eastAsia"/>
              </w:rPr>
            </w:pPr>
            <w:r>
              <w:rPr>
                <w:rFonts w:hint="eastAsia"/>
              </w:rPr>
              <w:t>CIMRS为一种垫片型号。</w:t>
            </w:r>
          </w:p>
        </w:tc>
      </w:tr>
    </w:tbl>
    <w:p w14:paraId="2380866C">
      <w:pPr>
        <w:pStyle w:val="178"/>
        <w:rPr>
          <w:rFonts w:hint="eastAsia" w:ascii="Times New Roman"/>
          <w:spacing w:val="11"/>
        </w:rPr>
      </w:pPr>
    </w:p>
    <w:p w14:paraId="56520BB1">
      <w:pPr>
        <w:pStyle w:val="77"/>
        <w:spacing w:before="120" w:after="120"/>
      </w:pPr>
      <w:r>
        <w:rPr>
          <w:rFonts w:hint="eastAsia"/>
          <w:lang w:val="en-US" w:eastAsia="zh-CN"/>
        </w:rPr>
        <w:t xml:space="preserve"> </w:t>
      </w:r>
      <w:r>
        <w:rPr>
          <w:rFonts w:hint="eastAsia"/>
        </w:rPr>
        <w:t>S／O矩阵</w:t>
      </w:r>
    </w:p>
    <w:tbl>
      <w:tblPr>
        <w:tblStyle w:val="231"/>
        <w:tblW w:w="9312"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8"/>
        <w:gridCol w:w="728"/>
        <w:gridCol w:w="728"/>
        <w:gridCol w:w="728"/>
        <w:gridCol w:w="727"/>
        <w:gridCol w:w="728"/>
        <w:gridCol w:w="728"/>
        <w:gridCol w:w="727"/>
        <w:gridCol w:w="728"/>
        <w:gridCol w:w="728"/>
        <w:gridCol w:w="754"/>
      </w:tblGrid>
      <w:tr w14:paraId="1523C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2008" w:type="dxa"/>
            <w:tcBorders>
              <w:top w:val="single" w:color="000000" w:sz="6" w:space="0"/>
              <w:left w:val="single" w:color="000000" w:sz="6" w:space="0"/>
              <w:bottom w:val="single" w:color="000000" w:sz="6" w:space="0"/>
              <w:tl2br w:val="single" w:color="000000" w:sz="2" w:space="0"/>
            </w:tcBorders>
            <w:vAlign w:val="center"/>
          </w:tcPr>
          <w:p w14:paraId="14806B10">
            <w:pPr>
              <w:pStyle w:val="178"/>
              <w:jc w:val="right"/>
              <w:rPr>
                <w:rFonts w:eastAsia="宋体" w:cs="Times New Roman"/>
              </w:rPr>
            </w:pPr>
            <w:r>
              <w:rPr>
                <w:rFonts w:eastAsia="宋体" w:cs="Times New Roman"/>
              </w:rPr>
              <w:t xml:space="preserve">发生概率(O) </w:t>
            </w:r>
          </w:p>
          <w:p w14:paraId="48BFE3A3">
            <w:pPr>
              <w:pStyle w:val="178"/>
              <w:jc w:val="left"/>
              <w:rPr>
                <w:rFonts w:eastAsia="宋体" w:cs="Times New Roman"/>
              </w:rPr>
            </w:pPr>
            <w:r>
              <w:rPr>
                <w:rFonts w:hint="eastAsia" w:cs="Times New Roman"/>
                <w:lang w:eastAsia="zh-CN"/>
              </w:rPr>
              <w:t>严重度</w:t>
            </w:r>
            <w:r>
              <w:rPr>
                <w:rFonts w:eastAsia="宋体" w:cs="Times New Roman"/>
              </w:rPr>
              <w:t>(S)</w:t>
            </w:r>
          </w:p>
        </w:tc>
        <w:tc>
          <w:tcPr>
            <w:tcW w:w="728" w:type="dxa"/>
            <w:tcBorders>
              <w:top w:val="single" w:color="000000" w:sz="6" w:space="0"/>
              <w:bottom w:val="single" w:color="000000" w:sz="6" w:space="0"/>
            </w:tcBorders>
            <w:vAlign w:val="center"/>
          </w:tcPr>
          <w:p w14:paraId="1F8C5891">
            <w:pPr>
              <w:pStyle w:val="178"/>
              <w:rPr>
                <w:rFonts w:eastAsia="宋体" w:cs="Times New Roman"/>
              </w:rPr>
            </w:pPr>
            <w:r>
              <w:rPr>
                <w:rFonts w:eastAsia="宋体" w:cs="Times New Roman"/>
              </w:rPr>
              <w:t>1</w:t>
            </w:r>
          </w:p>
        </w:tc>
        <w:tc>
          <w:tcPr>
            <w:tcW w:w="728" w:type="dxa"/>
            <w:tcBorders>
              <w:top w:val="single" w:color="000000" w:sz="6" w:space="0"/>
              <w:bottom w:val="single" w:color="000000" w:sz="6" w:space="0"/>
            </w:tcBorders>
            <w:vAlign w:val="center"/>
          </w:tcPr>
          <w:p w14:paraId="4A1BD710">
            <w:pPr>
              <w:pStyle w:val="178"/>
              <w:rPr>
                <w:rFonts w:eastAsia="宋体" w:cs="Times New Roman"/>
              </w:rPr>
            </w:pPr>
            <w:r>
              <w:rPr>
                <w:rFonts w:eastAsia="宋体" w:cs="Times New Roman"/>
              </w:rPr>
              <w:t>2</w:t>
            </w:r>
          </w:p>
        </w:tc>
        <w:tc>
          <w:tcPr>
            <w:tcW w:w="728" w:type="dxa"/>
            <w:tcBorders>
              <w:top w:val="single" w:color="000000" w:sz="6" w:space="0"/>
              <w:bottom w:val="single" w:color="000000" w:sz="6" w:space="0"/>
            </w:tcBorders>
            <w:vAlign w:val="center"/>
          </w:tcPr>
          <w:p w14:paraId="064C5A35">
            <w:pPr>
              <w:pStyle w:val="178"/>
              <w:rPr>
                <w:rFonts w:eastAsia="宋体" w:cs="Times New Roman"/>
              </w:rPr>
            </w:pPr>
            <w:r>
              <w:rPr>
                <w:rFonts w:eastAsia="宋体" w:cs="Times New Roman"/>
              </w:rPr>
              <w:t>3</w:t>
            </w:r>
          </w:p>
        </w:tc>
        <w:tc>
          <w:tcPr>
            <w:tcW w:w="727" w:type="dxa"/>
            <w:tcBorders>
              <w:top w:val="single" w:color="000000" w:sz="6" w:space="0"/>
              <w:bottom w:val="single" w:color="000000" w:sz="6" w:space="0"/>
            </w:tcBorders>
            <w:vAlign w:val="center"/>
          </w:tcPr>
          <w:p w14:paraId="13C5F36D">
            <w:pPr>
              <w:pStyle w:val="178"/>
              <w:rPr>
                <w:rFonts w:eastAsia="宋体" w:cs="Times New Roman"/>
              </w:rPr>
            </w:pPr>
            <w:r>
              <w:rPr>
                <w:rFonts w:eastAsia="宋体" w:cs="Times New Roman"/>
              </w:rPr>
              <w:t>4</w:t>
            </w:r>
          </w:p>
        </w:tc>
        <w:tc>
          <w:tcPr>
            <w:tcW w:w="728" w:type="dxa"/>
            <w:tcBorders>
              <w:top w:val="single" w:color="000000" w:sz="6" w:space="0"/>
              <w:bottom w:val="single" w:color="000000" w:sz="6" w:space="0"/>
            </w:tcBorders>
            <w:vAlign w:val="center"/>
          </w:tcPr>
          <w:p w14:paraId="6B0184B1">
            <w:pPr>
              <w:pStyle w:val="178"/>
              <w:rPr>
                <w:rFonts w:eastAsia="宋体" w:cs="Times New Roman"/>
              </w:rPr>
            </w:pPr>
            <w:r>
              <w:rPr>
                <w:rFonts w:eastAsia="宋体" w:cs="Times New Roman"/>
              </w:rPr>
              <w:t>5</w:t>
            </w:r>
          </w:p>
        </w:tc>
        <w:tc>
          <w:tcPr>
            <w:tcW w:w="728" w:type="dxa"/>
            <w:tcBorders>
              <w:top w:val="single" w:color="000000" w:sz="6" w:space="0"/>
              <w:bottom w:val="single" w:color="000000" w:sz="6" w:space="0"/>
            </w:tcBorders>
            <w:vAlign w:val="center"/>
          </w:tcPr>
          <w:p w14:paraId="0932015D">
            <w:pPr>
              <w:pStyle w:val="178"/>
              <w:rPr>
                <w:rFonts w:eastAsia="宋体" w:cs="Times New Roman"/>
              </w:rPr>
            </w:pPr>
            <w:r>
              <w:rPr>
                <w:rFonts w:eastAsia="宋体" w:cs="Times New Roman"/>
              </w:rPr>
              <w:t>6</w:t>
            </w:r>
          </w:p>
        </w:tc>
        <w:tc>
          <w:tcPr>
            <w:tcW w:w="727" w:type="dxa"/>
            <w:tcBorders>
              <w:top w:val="single" w:color="000000" w:sz="6" w:space="0"/>
              <w:bottom w:val="single" w:color="000000" w:sz="6" w:space="0"/>
            </w:tcBorders>
            <w:vAlign w:val="center"/>
          </w:tcPr>
          <w:p w14:paraId="1E8E41EB">
            <w:pPr>
              <w:pStyle w:val="178"/>
              <w:rPr>
                <w:rFonts w:eastAsia="宋体" w:cs="Times New Roman"/>
              </w:rPr>
            </w:pPr>
            <w:r>
              <w:rPr>
                <w:rFonts w:eastAsia="宋体" w:cs="Times New Roman"/>
              </w:rPr>
              <w:t>7</w:t>
            </w:r>
          </w:p>
        </w:tc>
        <w:tc>
          <w:tcPr>
            <w:tcW w:w="728" w:type="dxa"/>
            <w:tcBorders>
              <w:top w:val="single" w:color="000000" w:sz="6" w:space="0"/>
              <w:bottom w:val="single" w:color="000000" w:sz="6" w:space="0"/>
            </w:tcBorders>
            <w:vAlign w:val="center"/>
          </w:tcPr>
          <w:p w14:paraId="11924F82">
            <w:pPr>
              <w:pStyle w:val="178"/>
              <w:rPr>
                <w:rFonts w:eastAsia="宋体" w:cs="Times New Roman"/>
              </w:rPr>
            </w:pPr>
            <w:r>
              <w:rPr>
                <w:rFonts w:eastAsia="宋体" w:cs="Times New Roman"/>
              </w:rPr>
              <w:t>8</w:t>
            </w:r>
          </w:p>
        </w:tc>
        <w:tc>
          <w:tcPr>
            <w:tcW w:w="728" w:type="dxa"/>
            <w:tcBorders>
              <w:top w:val="single" w:color="000000" w:sz="6" w:space="0"/>
              <w:bottom w:val="single" w:color="000000" w:sz="6" w:space="0"/>
            </w:tcBorders>
            <w:vAlign w:val="center"/>
          </w:tcPr>
          <w:p w14:paraId="2669C913">
            <w:pPr>
              <w:pStyle w:val="178"/>
              <w:rPr>
                <w:rFonts w:eastAsia="宋体" w:cs="Times New Roman"/>
              </w:rPr>
            </w:pPr>
            <w:r>
              <w:rPr>
                <w:rFonts w:eastAsia="宋体" w:cs="Times New Roman"/>
              </w:rPr>
              <w:t>9</w:t>
            </w:r>
          </w:p>
        </w:tc>
        <w:tc>
          <w:tcPr>
            <w:tcW w:w="754" w:type="dxa"/>
            <w:tcBorders>
              <w:top w:val="single" w:color="000000" w:sz="6" w:space="0"/>
              <w:bottom w:val="single" w:color="000000" w:sz="6" w:space="0"/>
              <w:right w:val="single" w:color="000000" w:sz="6" w:space="0"/>
            </w:tcBorders>
            <w:vAlign w:val="center"/>
          </w:tcPr>
          <w:p w14:paraId="149C2EF0">
            <w:pPr>
              <w:pStyle w:val="178"/>
              <w:rPr>
                <w:rFonts w:eastAsia="宋体" w:cs="Times New Roman"/>
              </w:rPr>
            </w:pPr>
            <w:r>
              <w:rPr>
                <w:rFonts w:eastAsia="宋体" w:cs="Times New Roman"/>
              </w:rPr>
              <w:t>10</w:t>
            </w:r>
          </w:p>
        </w:tc>
      </w:tr>
      <w:tr w14:paraId="3EC67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008" w:type="dxa"/>
            <w:tcBorders>
              <w:top w:val="single" w:color="000000" w:sz="6" w:space="0"/>
              <w:left w:val="single" w:color="000000" w:sz="6" w:space="0"/>
            </w:tcBorders>
            <w:vAlign w:val="center"/>
          </w:tcPr>
          <w:p w14:paraId="3FF1133F">
            <w:pPr>
              <w:pStyle w:val="178"/>
              <w:rPr>
                <w:rFonts w:eastAsia="宋体" w:cs="Times New Roman"/>
              </w:rPr>
            </w:pPr>
            <w:r>
              <w:rPr>
                <w:rFonts w:eastAsia="宋体" w:cs="Times New Roman"/>
              </w:rPr>
              <w:t>1</w:t>
            </w:r>
          </w:p>
        </w:tc>
        <w:tc>
          <w:tcPr>
            <w:tcW w:w="728" w:type="dxa"/>
            <w:tcBorders>
              <w:top w:val="single" w:color="000000" w:sz="6" w:space="0"/>
            </w:tcBorders>
            <w:vAlign w:val="center"/>
          </w:tcPr>
          <w:p w14:paraId="0D994DED">
            <w:pPr>
              <w:pStyle w:val="178"/>
              <w:rPr>
                <w:rFonts w:eastAsia="宋体" w:cs="Times New Roman"/>
              </w:rPr>
            </w:pPr>
            <w:r>
              <w:rPr>
                <w:rFonts w:hint="eastAsia" w:hAnsi="宋体" w:eastAsia="宋体" w:cs="宋体"/>
              </w:rPr>
              <w:t>▽</w:t>
            </w:r>
          </w:p>
        </w:tc>
        <w:tc>
          <w:tcPr>
            <w:tcW w:w="728" w:type="dxa"/>
            <w:tcBorders>
              <w:top w:val="single" w:color="000000" w:sz="6" w:space="0"/>
            </w:tcBorders>
            <w:vAlign w:val="center"/>
          </w:tcPr>
          <w:p w14:paraId="4722B09F">
            <w:pPr>
              <w:pStyle w:val="178"/>
              <w:rPr>
                <w:rFonts w:eastAsia="宋体" w:cs="Times New Roman"/>
              </w:rPr>
            </w:pPr>
            <w:r>
              <w:rPr>
                <w:rFonts w:hint="eastAsia" w:hAnsi="宋体" w:eastAsia="宋体" w:cs="宋体"/>
              </w:rPr>
              <w:t>▽</w:t>
            </w:r>
          </w:p>
        </w:tc>
        <w:tc>
          <w:tcPr>
            <w:tcW w:w="728" w:type="dxa"/>
            <w:tcBorders>
              <w:top w:val="single" w:color="000000" w:sz="6" w:space="0"/>
            </w:tcBorders>
            <w:vAlign w:val="center"/>
          </w:tcPr>
          <w:p w14:paraId="792F350E">
            <w:pPr>
              <w:pStyle w:val="178"/>
              <w:rPr>
                <w:rFonts w:eastAsia="宋体" w:cs="Times New Roman"/>
              </w:rPr>
            </w:pPr>
            <w:r>
              <w:rPr>
                <w:rFonts w:hint="eastAsia" w:hAnsi="宋体" w:eastAsia="宋体" w:cs="宋体"/>
              </w:rPr>
              <w:t>▽</w:t>
            </w:r>
          </w:p>
        </w:tc>
        <w:tc>
          <w:tcPr>
            <w:tcW w:w="727" w:type="dxa"/>
            <w:tcBorders>
              <w:top w:val="single" w:color="000000" w:sz="6" w:space="0"/>
            </w:tcBorders>
            <w:vAlign w:val="center"/>
          </w:tcPr>
          <w:p w14:paraId="1B26D68D">
            <w:pPr>
              <w:pStyle w:val="178"/>
              <w:rPr>
                <w:rFonts w:eastAsia="宋体" w:cs="Times New Roman"/>
              </w:rPr>
            </w:pPr>
            <w:r>
              <w:rPr>
                <w:rFonts w:hint="eastAsia" w:hAnsi="宋体" w:eastAsia="宋体" w:cs="宋体"/>
              </w:rPr>
              <w:t>▽</w:t>
            </w:r>
          </w:p>
        </w:tc>
        <w:tc>
          <w:tcPr>
            <w:tcW w:w="728" w:type="dxa"/>
            <w:tcBorders>
              <w:top w:val="single" w:color="000000" w:sz="6" w:space="0"/>
            </w:tcBorders>
            <w:vAlign w:val="center"/>
          </w:tcPr>
          <w:p w14:paraId="3FAED1ED">
            <w:pPr>
              <w:pStyle w:val="178"/>
              <w:rPr>
                <w:rFonts w:eastAsia="宋体" w:cs="Times New Roman"/>
              </w:rPr>
            </w:pPr>
            <w:r>
              <w:rPr>
                <w:rFonts w:hint="eastAsia" w:hAnsi="宋体" w:eastAsia="宋体" w:cs="宋体"/>
              </w:rPr>
              <w:t>▽</w:t>
            </w:r>
          </w:p>
        </w:tc>
        <w:tc>
          <w:tcPr>
            <w:tcW w:w="728" w:type="dxa"/>
            <w:tcBorders>
              <w:top w:val="single" w:color="000000" w:sz="6" w:space="0"/>
            </w:tcBorders>
            <w:vAlign w:val="center"/>
          </w:tcPr>
          <w:p w14:paraId="2DD4CC2C">
            <w:pPr>
              <w:pStyle w:val="178"/>
              <w:rPr>
                <w:rFonts w:eastAsia="宋体" w:cs="Times New Roman"/>
              </w:rPr>
            </w:pPr>
            <w:r>
              <w:rPr>
                <w:rFonts w:hint="eastAsia" w:hAnsi="宋体" w:eastAsia="宋体" w:cs="宋体"/>
              </w:rPr>
              <w:t>▽</w:t>
            </w:r>
          </w:p>
        </w:tc>
        <w:tc>
          <w:tcPr>
            <w:tcW w:w="727" w:type="dxa"/>
            <w:tcBorders>
              <w:top w:val="single" w:color="000000" w:sz="6" w:space="0"/>
            </w:tcBorders>
            <w:vAlign w:val="center"/>
          </w:tcPr>
          <w:p w14:paraId="5A92FCFB">
            <w:pPr>
              <w:pStyle w:val="178"/>
              <w:rPr>
                <w:rFonts w:eastAsia="宋体" w:cs="Times New Roman"/>
              </w:rPr>
            </w:pPr>
            <w:r>
              <w:rPr>
                <w:rFonts w:hint="eastAsia" w:hAnsi="宋体" w:eastAsia="宋体" w:cs="宋体"/>
              </w:rPr>
              <w:t>▽</w:t>
            </w:r>
          </w:p>
        </w:tc>
        <w:tc>
          <w:tcPr>
            <w:tcW w:w="728" w:type="dxa"/>
            <w:tcBorders>
              <w:top w:val="single" w:color="000000" w:sz="6" w:space="0"/>
            </w:tcBorders>
            <w:vAlign w:val="center"/>
          </w:tcPr>
          <w:p w14:paraId="3A6DC947">
            <w:pPr>
              <w:pStyle w:val="178"/>
              <w:rPr>
                <w:rFonts w:eastAsia="宋体" w:cs="Times New Roman"/>
              </w:rPr>
            </w:pPr>
            <w:r>
              <w:rPr>
                <w:rFonts w:hint="eastAsia" w:hAnsi="宋体" w:eastAsia="宋体" w:cs="宋体"/>
              </w:rPr>
              <w:t>▽</w:t>
            </w:r>
          </w:p>
        </w:tc>
        <w:tc>
          <w:tcPr>
            <w:tcW w:w="728" w:type="dxa"/>
            <w:tcBorders>
              <w:top w:val="single" w:color="000000" w:sz="6" w:space="0"/>
            </w:tcBorders>
            <w:vAlign w:val="center"/>
          </w:tcPr>
          <w:p w14:paraId="7A6F279A">
            <w:pPr>
              <w:pStyle w:val="178"/>
              <w:rPr>
                <w:rFonts w:eastAsia="宋体" w:cs="Times New Roman"/>
              </w:rPr>
            </w:pPr>
            <w:r>
              <w:rPr>
                <w:rFonts w:eastAsia="宋体" w:cs="Times New Roman"/>
              </w:rPr>
              <w:t>×</w:t>
            </w:r>
          </w:p>
        </w:tc>
        <w:tc>
          <w:tcPr>
            <w:tcW w:w="754" w:type="dxa"/>
            <w:tcBorders>
              <w:top w:val="single" w:color="000000" w:sz="6" w:space="0"/>
              <w:right w:val="single" w:color="000000" w:sz="6" w:space="0"/>
            </w:tcBorders>
            <w:vAlign w:val="center"/>
          </w:tcPr>
          <w:p w14:paraId="6028F856">
            <w:pPr>
              <w:pStyle w:val="178"/>
              <w:rPr>
                <w:rFonts w:eastAsia="宋体" w:cs="Times New Roman"/>
              </w:rPr>
            </w:pPr>
            <w:r>
              <w:rPr>
                <w:rFonts w:eastAsia="宋体" w:cs="Times New Roman"/>
              </w:rPr>
              <w:t>×</w:t>
            </w:r>
          </w:p>
        </w:tc>
      </w:tr>
      <w:tr w14:paraId="4C26B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08" w:type="dxa"/>
            <w:tcBorders>
              <w:left w:val="single" w:color="000000" w:sz="6" w:space="0"/>
            </w:tcBorders>
            <w:vAlign w:val="center"/>
          </w:tcPr>
          <w:p w14:paraId="1F7E5B07">
            <w:pPr>
              <w:pStyle w:val="178"/>
              <w:rPr>
                <w:rFonts w:eastAsia="宋体" w:cs="Times New Roman"/>
              </w:rPr>
            </w:pPr>
            <w:r>
              <w:rPr>
                <w:rFonts w:eastAsia="宋体" w:cs="Times New Roman"/>
              </w:rPr>
              <w:t>2</w:t>
            </w:r>
          </w:p>
        </w:tc>
        <w:tc>
          <w:tcPr>
            <w:tcW w:w="728" w:type="dxa"/>
            <w:vAlign w:val="center"/>
          </w:tcPr>
          <w:p w14:paraId="093D371C">
            <w:pPr>
              <w:pStyle w:val="178"/>
              <w:rPr>
                <w:rFonts w:eastAsia="宋体" w:cs="Times New Roman"/>
              </w:rPr>
            </w:pPr>
            <w:r>
              <w:rPr>
                <w:rFonts w:hint="eastAsia" w:hAnsi="宋体" w:eastAsia="宋体" w:cs="宋体"/>
              </w:rPr>
              <w:t>▽</w:t>
            </w:r>
          </w:p>
        </w:tc>
        <w:tc>
          <w:tcPr>
            <w:tcW w:w="728" w:type="dxa"/>
            <w:vAlign w:val="center"/>
          </w:tcPr>
          <w:p w14:paraId="3C278BEB">
            <w:pPr>
              <w:pStyle w:val="178"/>
              <w:rPr>
                <w:rFonts w:eastAsia="宋体" w:cs="Times New Roman"/>
              </w:rPr>
            </w:pPr>
            <w:r>
              <w:rPr>
                <w:rFonts w:hint="eastAsia" w:hAnsi="宋体" w:eastAsia="宋体" w:cs="宋体"/>
              </w:rPr>
              <w:t>▽</w:t>
            </w:r>
          </w:p>
        </w:tc>
        <w:tc>
          <w:tcPr>
            <w:tcW w:w="728" w:type="dxa"/>
            <w:vAlign w:val="center"/>
          </w:tcPr>
          <w:p w14:paraId="3D37746E">
            <w:pPr>
              <w:pStyle w:val="178"/>
              <w:rPr>
                <w:rFonts w:eastAsia="宋体" w:cs="Times New Roman"/>
              </w:rPr>
            </w:pPr>
            <w:r>
              <w:rPr>
                <w:rFonts w:hint="eastAsia" w:hAnsi="宋体" w:eastAsia="宋体" w:cs="宋体"/>
              </w:rPr>
              <w:t>▽</w:t>
            </w:r>
          </w:p>
        </w:tc>
        <w:tc>
          <w:tcPr>
            <w:tcW w:w="727" w:type="dxa"/>
            <w:vAlign w:val="center"/>
          </w:tcPr>
          <w:p w14:paraId="3B32CEDD">
            <w:pPr>
              <w:pStyle w:val="178"/>
              <w:rPr>
                <w:rFonts w:eastAsia="宋体" w:cs="Times New Roman"/>
              </w:rPr>
            </w:pPr>
            <w:r>
              <w:rPr>
                <w:rFonts w:hint="eastAsia" w:hAnsi="宋体" w:eastAsia="宋体" w:cs="宋体"/>
              </w:rPr>
              <w:t>▽</w:t>
            </w:r>
          </w:p>
        </w:tc>
        <w:tc>
          <w:tcPr>
            <w:tcW w:w="728" w:type="dxa"/>
            <w:vAlign w:val="center"/>
          </w:tcPr>
          <w:p w14:paraId="71633C74">
            <w:pPr>
              <w:pStyle w:val="178"/>
              <w:rPr>
                <w:rFonts w:eastAsia="宋体" w:cs="Times New Roman"/>
              </w:rPr>
            </w:pPr>
            <w:r>
              <w:rPr>
                <w:rFonts w:hint="eastAsia" w:hAnsi="宋体" w:eastAsia="宋体" w:cs="宋体"/>
              </w:rPr>
              <w:t>▽</w:t>
            </w:r>
          </w:p>
        </w:tc>
        <w:tc>
          <w:tcPr>
            <w:tcW w:w="728" w:type="dxa"/>
            <w:vAlign w:val="center"/>
          </w:tcPr>
          <w:p w14:paraId="2667419F">
            <w:pPr>
              <w:pStyle w:val="178"/>
              <w:rPr>
                <w:rFonts w:eastAsia="宋体" w:cs="Times New Roman"/>
              </w:rPr>
            </w:pPr>
            <w:r>
              <w:rPr>
                <w:rFonts w:hint="eastAsia" w:hAnsi="宋体" w:eastAsia="宋体" w:cs="宋体"/>
              </w:rPr>
              <w:t>▽</w:t>
            </w:r>
          </w:p>
        </w:tc>
        <w:tc>
          <w:tcPr>
            <w:tcW w:w="727" w:type="dxa"/>
            <w:vAlign w:val="center"/>
          </w:tcPr>
          <w:p w14:paraId="7AF8BB44">
            <w:pPr>
              <w:pStyle w:val="178"/>
              <w:rPr>
                <w:rFonts w:eastAsia="宋体" w:cs="Times New Roman"/>
              </w:rPr>
            </w:pPr>
            <w:r>
              <w:rPr>
                <w:rFonts w:eastAsia="宋体" w:cs="Times New Roman"/>
              </w:rPr>
              <w:t>×</w:t>
            </w:r>
          </w:p>
        </w:tc>
        <w:tc>
          <w:tcPr>
            <w:tcW w:w="728" w:type="dxa"/>
            <w:vAlign w:val="center"/>
          </w:tcPr>
          <w:p w14:paraId="67938A7E">
            <w:pPr>
              <w:pStyle w:val="178"/>
              <w:rPr>
                <w:rFonts w:eastAsia="宋体" w:cs="Times New Roman"/>
              </w:rPr>
            </w:pPr>
            <w:r>
              <w:rPr>
                <w:rFonts w:eastAsia="宋体" w:cs="Times New Roman"/>
              </w:rPr>
              <w:t>×</w:t>
            </w:r>
          </w:p>
        </w:tc>
        <w:tc>
          <w:tcPr>
            <w:tcW w:w="728" w:type="dxa"/>
            <w:vAlign w:val="center"/>
          </w:tcPr>
          <w:p w14:paraId="1FF12335">
            <w:pPr>
              <w:pStyle w:val="178"/>
              <w:rPr>
                <w:rFonts w:eastAsia="宋体" w:cs="Times New Roman"/>
              </w:rPr>
            </w:pPr>
            <w:r>
              <w:rPr>
                <w:rFonts w:eastAsia="宋体" w:cs="Times New Roman"/>
              </w:rPr>
              <w:t>×</w:t>
            </w:r>
          </w:p>
        </w:tc>
        <w:tc>
          <w:tcPr>
            <w:tcW w:w="754" w:type="dxa"/>
            <w:tcBorders>
              <w:right w:val="single" w:color="000000" w:sz="6" w:space="0"/>
            </w:tcBorders>
            <w:vAlign w:val="center"/>
          </w:tcPr>
          <w:p w14:paraId="4E59AB43">
            <w:pPr>
              <w:pStyle w:val="178"/>
              <w:rPr>
                <w:rFonts w:eastAsia="宋体" w:cs="Times New Roman"/>
              </w:rPr>
            </w:pPr>
            <w:r>
              <w:rPr>
                <w:rFonts w:eastAsia="宋体" w:cs="Times New Roman"/>
              </w:rPr>
              <w:t>×</w:t>
            </w:r>
          </w:p>
        </w:tc>
      </w:tr>
      <w:tr w14:paraId="6AAFA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08" w:type="dxa"/>
            <w:tcBorders>
              <w:left w:val="single" w:color="000000" w:sz="6" w:space="0"/>
            </w:tcBorders>
            <w:vAlign w:val="center"/>
          </w:tcPr>
          <w:p w14:paraId="5819994F">
            <w:pPr>
              <w:pStyle w:val="178"/>
              <w:rPr>
                <w:rFonts w:eastAsia="宋体" w:cs="Times New Roman"/>
              </w:rPr>
            </w:pPr>
            <w:r>
              <w:rPr>
                <w:rFonts w:eastAsia="宋体" w:cs="Times New Roman"/>
              </w:rPr>
              <w:t>3</w:t>
            </w:r>
          </w:p>
        </w:tc>
        <w:tc>
          <w:tcPr>
            <w:tcW w:w="728" w:type="dxa"/>
            <w:vAlign w:val="center"/>
          </w:tcPr>
          <w:p w14:paraId="4B587CF7">
            <w:pPr>
              <w:pStyle w:val="178"/>
              <w:rPr>
                <w:rFonts w:eastAsia="宋体" w:cs="Times New Roman"/>
              </w:rPr>
            </w:pPr>
            <w:r>
              <w:rPr>
                <w:rFonts w:hint="eastAsia" w:hAnsi="宋体" w:eastAsia="宋体" w:cs="宋体"/>
              </w:rPr>
              <w:t>▽</w:t>
            </w:r>
          </w:p>
        </w:tc>
        <w:tc>
          <w:tcPr>
            <w:tcW w:w="728" w:type="dxa"/>
            <w:vAlign w:val="center"/>
          </w:tcPr>
          <w:p w14:paraId="1B041440">
            <w:pPr>
              <w:pStyle w:val="178"/>
              <w:rPr>
                <w:rFonts w:eastAsia="宋体" w:cs="Times New Roman"/>
              </w:rPr>
            </w:pPr>
            <w:r>
              <w:rPr>
                <w:rFonts w:hint="eastAsia" w:hAnsi="宋体" w:eastAsia="宋体" w:cs="宋体"/>
              </w:rPr>
              <w:t>▽</w:t>
            </w:r>
          </w:p>
        </w:tc>
        <w:tc>
          <w:tcPr>
            <w:tcW w:w="728" w:type="dxa"/>
            <w:vAlign w:val="center"/>
          </w:tcPr>
          <w:p w14:paraId="117FCB00">
            <w:pPr>
              <w:pStyle w:val="178"/>
              <w:rPr>
                <w:rFonts w:eastAsia="宋体" w:cs="Times New Roman"/>
              </w:rPr>
            </w:pPr>
            <w:r>
              <w:rPr>
                <w:rFonts w:hint="eastAsia" w:hAnsi="宋体" w:eastAsia="宋体" w:cs="宋体"/>
              </w:rPr>
              <w:t>▽</w:t>
            </w:r>
          </w:p>
        </w:tc>
        <w:tc>
          <w:tcPr>
            <w:tcW w:w="727" w:type="dxa"/>
            <w:vAlign w:val="center"/>
          </w:tcPr>
          <w:p w14:paraId="69427C21">
            <w:pPr>
              <w:pStyle w:val="178"/>
              <w:rPr>
                <w:rFonts w:eastAsia="宋体" w:cs="Times New Roman"/>
              </w:rPr>
            </w:pPr>
            <w:r>
              <w:rPr>
                <w:rFonts w:hint="eastAsia" w:hAnsi="宋体" w:eastAsia="宋体" w:cs="宋体"/>
              </w:rPr>
              <w:t>▽</w:t>
            </w:r>
          </w:p>
        </w:tc>
        <w:tc>
          <w:tcPr>
            <w:tcW w:w="728" w:type="dxa"/>
            <w:vAlign w:val="center"/>
          </w:tcPr>
          <w:p w14:paraId="46B7F2C3">
            <w:pPr>
              <w:pStyle w:val="178"/>
              <w:rPr>
                <w:rFonts w:eastAsia="宋体" w:cs="Times New Roman"/>
              </w:rPr>
            </w:pPr>
            <w:r>
              <w:rPr>
                <w:rFonts w:eastAsia="宋体" w:cs="Times New Roman"/>
              </w:rPr>
              <w:t>×</w:t>
            </w:r>
          </w:p>
        </w:tc>
        <w:tc>
          <w:tcPr>
            <w:tcW w:w="728" w:type="dxa"/>
            <w:vAlign w:val="center"/>
          </w:tcPr>
          <w:p w14:paraId="7FADE922">
            <w:pPr>
              <w:pStyle w:val="178"/>
              <w:rPr>
                <w:rFonts w:eastAsia="宋体" w:cs="Times New Roman"/>
              </w:rPr>
            </w:pPr>
            <w:r>
              <w:rPr>
                <w:rFonts w:eastAsia="宋体" w:cs="Times New Roman"/>
              </w:rPr>
              <w:t>×</w:t>
            </w:r>
          </w:p>
        </w:tc>
        <w:tc>
          <w:tcPr>
            <w:tcW w:w="727" w:type="dxa"/>
            <w:vAlign w:val="center"/>
          </w:tcPr>
          <w:p w14:paraId="3B894457">
            <w:pPr>
              <w:pStyle w:val="178"/>
              <w:rPr>
                <w:rFonts w:eastAsia="宋体" w:cs="Times New Roman"/>
              </w:rPr>
            </w:pPr>
            <w:r>
              <w:rPr>
                <w:rFonts w:eastAsia="宋体" w:cs="Times New Roman"/>
              </w:rPr>
              <w:t>×</w:t>
            </w:r>
          </w:p>
        </w:tc>
        <w:tc>
          <w:tcPr>
            <w:tcW w:w="728" w:type="dxa"/>
            <w:vAlign w:val="center"/>
          </w:tcPr>
          <w:p w14:paraId="2FC15530">
            <w:pPr>
              <w:pStyle w:val="178"/>
              <w:rPr>
                <w:rFonts w:eastAsia="宋体" w:cs="Times New Roman"/>
              </w:rPr>
            </w:pPr>
            <w:r>
              <w:rPr>
                <w:rFonts w:eastAsia="宋体" w:cs="Times New Roman"/>
              </w:rPr>
              <w:t>×</w:t>
            </w:r>
          </w:p>
        </w:tc>
        <w:tc>
          <w:tcPr>
            <w:tcW w:w="728" w:type="dxa"/>
            <w:vAlign w:val="center"/>
          </w:tcPr>
          <w:p w14:paraId="31B146D0">
            <w:pPr>
              <w:pStyle w:val="178"/>
              <w:rPr>
                <w:rFonts w:eastAsia="宋体" w:cs="Times New Roman"/>
              </w:rPr>
            </w:pPr>
            <w:r>
              <w:rPr>
                <w:rFonts w:eastAsia="宋体" w:cs="Times New Roman"/>
              </w:rPr>
              <w:t>×</w:t>
            </w:r>
          </w:p>
        </w:tc>
        <w:tc>
          <w:tcPr>
            <w:tcW w:w="754" w:type="dxa"/>
            <w:tcBorders>
              <w:right w:val="single" w:color="000000" w:sz="6" w:space="0"/>
            </w:tcBorders>
            <w:vAlign w:val="center"/>
          </w:tcPr>
          <w:p w14:paraId="4674D5E5">
            <w:pPr>
              <w:pStyle w:val="178"/>
              <w:rPr>
                <w:rFonts w:eastAsia="宋体" w:cs="Times New Roman"/>
              </w:rPr>
            </w:pPr>
            <w:r>
              <w:rPr>
                <w:rFonts w:eastAsia="宋体" w:cs="Times New Roman"/>
              </w:rPr>
              <w:t>×</w:t>
            </w:r>
          </w:p>
        </w:tc>
      </w:tr>
      <w:tr w14:paraId="4EB9E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08" w:type="dxa"/>
            <w:tcBorders>
              <w:left w:val="single" w:color="000000" w:sz="6" w:space="0"/>
            </w:tcBorders>
            <w:vAlign w:val="center"/>
          </w:tcPr>
          <w:p w14:paraId="3AF7CE30">
            <w:pPr>
              <w:pStyle w:val="178"/>
              <w:rPr>
                <w:rFonts w:eastAsia="宋体" w:cs="Times New Roman"/>
              </w:rPr>
            </w:pPr>
            <w:r>
              <w:rPr>
                <w:rFonts w:eastAsia="宋体" w:cs="Times New Roman"/>
              </w:rPr>
              <w:t>4</w:t>
            </w:r>
          </w:p>
        </w:tc>
        <w:tc>
          <w:tcPr>
            <w:tcW w:w="728" w:type="dxa"/>
            <w:vAlign w:val="center"/>
          </w:tcPr>
          <w:p w14:paraId="1CD2E5A7">
            <w:pPr>
              <w:pStyle w:val="178"/>
              <w:rPr>
                <w:rFonts w:eastAsia="宋体" w:cs="Times New Roman"/>
              </w:rPr>
            </w:pPr>
            <w:r>
              <w:rPr>
                <w:rFonts w:hint="eastAsia" w:hAnsi="宋体" w:eastAsia="宋体" w:cs="宋体"/>
              </w:rPr>
              <w:t>▽</w:t>
            </w:r>
          </w:p>
        </w:tc>
        <w:tc>
          <w:tcPr>
            <w:tcW w:w="728" w:type="dxa"/>
            <w:vAlign w:val="center"/>
          </w:tcPr>
          <w:p w14:paraId="4DA23B57">
            <w:pPr>
              <w:pStyle w:val="178"/>
              <w:rPr>
                <w:rFonts w:eastAsia="宋体" w:cs="Times New Roman"/>
              </w:rPr>
            </w:pPr>
            <w:r>
              <w:rPr>
                <w:rFonts w:hint="eastAsia" w:hAnsi="宋体" w:eastAsia="宋体" w:cs="宋体"/>
              </w:rPr>
              <w:t>▽</w:t>
            </w:r>
          </w:p>
        </w:tc>
        <w:tc>
          <w:tcPr>
            <w:tcW w:w="728" w:type="dxa"/>
            <w:vAlign w:val="center"/>
          </w:tcPr>
          <w:p w14:paraId="026A6521">
            <w:pPr>
              <w:pStyle w:val="178"/>
              <w:rPr>
                <w:rFonts w:eastAsia="宋体" w:cs="Times New Roman"/>
              </w:rPr>
            </w:pPr>
            <w:r>
              <w:rPr>
                <w:rFonts w:hint="eastAsia" w:hAnsi="宋体" w:eastAsia="宋体" w:cs="宋体"/>
              </w:rPr>
              <w:t>▽</w:t>
            </w:r>
          </w:p>
        </w:tc>
        <w:tc>
          <w:tcPr>
            <w:tcW w:w="727" w:type="dxa"/>
            <w:vAlign w:val="center"/>
          </w:tcPr>
          <w:p w14:paraId="6F660222">
            <w:pPr>
              <w:pStyle w:val="178"/>
              <w:rPr>
                <w:rFonts w:eastAsia="宋体" w:cs="Times New Roman"/>
              </w:rPr>
            </w:pPr>
            <w:r>
              <w:rPr>
                <w:rFonts w:eastAsia="宋体" w:cs="Times New Roman"/>
              </w:rPr>
              <w:t>×</w:t>
            </w:r>
          </w:p>
        </w:tc>
        <w:tc>
          <w:tcPr>
            <w:tcW w:w="728" w:type="dxa"/>
            <w:vAlign w:val="center"/>
          </w:tcPr>
          <w:p w14:paraId="5F81176F">
            <w:pPr>
              <w:pStyle w:val="178"/>
              <w:rPr>
                <w:rFonts w:eastAsia="宋体" w:cs="Times New Roman"/>
              </w:rPr>
            </w:pPr>
            <w:r>
              <w:rPr>
                <w:rFonts w:eastAsia="宋体" w:cs="Times New Roman"/>
              </w:rPr>
              <w:t>×</w:t>
            </w:r>
          </w:p>
        </w:tc>
        <w:tc>
          <w:tcPr>
            <w:tcW w:w="728" w:type="dxa"/>
            <w:vAlign w:val="center"/>
          </w:tcPr>
          <w:p w14:paraId="61043E3D">
            <w:pPr>
              <w:pStyle w:val="178"/>
              <w:rPr>
                <w:rFonts w:eastAsia="宋体" w:cs="Times New Roman"/>
              </w:rPr>
            </w:pPr>
            <w:r>
              <w:rPr>
                <w:rFonts w:eastAsia="宋体" w:cs="Times New Roman"/>
              </w:rPr>
              <w:t>×</w:t>
            </w:r>
          </w:p>
        </w:tc>
        <w:tc>
          <w:tcPr>
            <w:tcW w:w="727" w:type="dxa"/>
            <w:vAlign w:val="center"/>
          </w:tcPr>
          <w:p w14:paraId="4363E381">
            <w:pPr>
              <w:pStyle w:val="178"/>
              <w:rPr>
                <w:rFonts w:eastAsia="宋体" w:cs="Times New Roman"/>
              </w:rPr>
            </w:pPr>
            <w:r>
              <w:rPr>
                <w:rFonts w:eastAsia="宋体" w:cs="Times New Roman"/>
              </w:rPr>
              <w:t>×</w:t>
            </w:r>
          </w:p>
        </w:tc>
        <w:tc>
          <w:tcPr>
            <w:tcW w:w="728" w:type="dxa"/>
            <w:vAlign w:val="center"/>
          </w:tcPr>
          <w:p w14:paraId="32CD7527">
            <w:pPr>
              <w:pStyle w:val="178"/>
              <w:rPr>
                <w:rFonts w:eastAsia="宋体" w:cs="Times New Roman"/>
              </w:rPr>
            </w:pPr>
            <w:r>
              <w:rPr>
                <w:rFonts w:eastAsia="宋体" w:cs="Times New Roman"/>
              </w:rPr>
              <w:t>×</w:t>
            </w:r>
          </w:p>
        </w:tc>
        <w:tc>
          <w:tcPr>
            <w:tcW w:w="728" w:type="dxa"/>
            <w:vAlign w:val="center"/>
          </w:tcPr>
          <w:p w14:paraId="46DD6BEC">
            <w:pPr>
              <w:pStyle w:val="178"/>
              <w:rPr>
                <w:rFonts w:eastAsia="宋体" w:cs="Times New Roman"/>
              </w:rPr>
            </w:pPr>
            <w:r>
              <w:rPr>
                <w:rFonts w:eastAsia="宋体" w:cs="Times New Roman"/>
              </w:rPr>
              <w:t>×</w:t>
            </w:r>
          </w:p>
        </w:tc>
        <w:tc>
          <w:tcPr>
            <w:tcW w:w="754" w:type="dxa"/>
            <w:tcBorders>
              <w:right w:val="single" w:color="000000" w:sz="6" w:space="0"/>
            </w:tcBorders>
            <w:vAlign w:val="center"/>
          </w:tcPr>
          <w:p w14:paraId="7EAFD331">
            <w:pPr>
              <w:pStyle w:val="178"/>
              <w:rPr>
                <w:rFonts w:eastAsia="宋体" w:cs="Times New Roman"/>
              </w:rPr>
            </w:pPr>
            <w:r>
              <w:rPr>
                <w:rFonts w:eastAsia="宋体" w:cs="Times New Roman"/>
              </w:rPr>
              <w:t>×</w:t>
            </w:r>
          </w:p>
        </w:tc>
      </w:tr>
      <w:tr w14:paraId="2B6CF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08" w:type="dxa"/>
            <w:tcBorders>
              <w:left w:val="single" w:color="000000" w:sz="6" w:space="0"/>
            </w:tcBorders>
            <w:vAlign w:val="center"/>
          </w:tcPr>
          <w:p w14:paraId="59934F55">
            <w:pPr>
              <w:pStyle w:val="178"/>
              <w:rPr>
                <w:rFonts w:eastAsia="宋体" w:cs="Times New Roman"/>
              </w:rPr>
            </w:pPr>
            <w:r>
              <w:rPr>
                <w:rFonts w:eastAsia="宋体" w:cs="Times New Roman"/>
              </w:rPr>
              <w:t>5</w:t>
            </w:r>
          </w:p>
        </w:tc>
        <w:tc>
          <w:tcPr>
            <w:tcW w:w="728" w:type="dxa"/>
            <w:vAlign w:val="center"/>
          </w:tcPr>
          <w:p w14:paraId="5ED73693">
            <w:pPr>
              <w:pStyle w:val="178"/>
              <w:rPr>
                <w:rFonts w:eastAsia="宋体" w:cs="Times New Roman"/>
              </w:rPr>
            </w:pPr>
            <w:r>
              <w:rPr>
                <w:rFonts w:hint="eastAsia" w:hAnsi="宋体" w:eastAsia="宋体" w:cs="宋体"/>
              </w:rPr>
              <w:t>▽</w:t>
            </w:r>
          </w:p>
        </w:tc>
        <w:tc>
          <w:tcPr>
            <w:tcW w:w="728" w:type="dxa"/>
            <w:vAlign w:val="center"/>
          </w:tcPr>
          <w:p w14:paraId="705BF52E">
            <w:pPr>
              <w:pStyle w:val="178"/>
              <w:rPr>
                <w:rFonts w:eastAsia="宋体" w:cs="Times New Roman"/>
              </w:rPr>
            </w:pPr>
            <w:r>
              <w:rPr>
                <w:rFonts w:eastAsia="宋体" w:cs="Times New Roman"/>
              </w:rPr>
              <w:t>×</w:t>
            </w:r>
          </w:p>
        </w:tc>
        <w:tc>
          <w:tcPr>
            <w:tcW w:w="728" w:type="dxa"/>
            <w:vAlign w:val="center"/>
          </w:tcPr>
          <w:p w14:paraId="7B25A789">
            <w:pPr>
              <w:pStyle w:val="178"/>
              <w:rPr>
                <w:rFonts w:eastAsia="宋体" w:cs="Times New Roman"/>
              </w:rPr>
            </w:pPr>
            <w:r>
              <w:rPr>
                <w:rFonts w:eastAsia="宋体" w:cs="Times New Roman"/>
              </w:rPr>
              <w:t>×</w:t>
            </w:r>
          </w:p>
        </w:tc>
        <w:tc>
          <w:tcPr>
            <w:tcW w:w="727" w:type="dxa"/>
            <w:vAlign w:val="center"/>
          </w:tcPr>
          <w:p w14:paraId="41214DB0">
            <w:pPr>
              <w:pStyle w:val="178"/>
              <w:rPr>
                <w:rFonts w:eastAsia="宋体" w:cs="Times New Roman"/>
              </w:rPr>
            </w:pPr>
            <w:r>
              <w:rPr>
                <w:rFonts w:eastAsia="宋体" w:cs="Times New Roman"/>
              </w:rPr>
              <w:t>×</w:t>
            </w:r>
          </w:p>
        </w:tc>
        <w:tc>
          <w:tcPr>
            <w:tcW w:w="728" w:type="dxa"/>
            <w:vAlign w:val="center"/>
          </w:tcPr>
          <w:p w14:paraId="76DE6EAB">
            <w:pPr>
              <w:pStyle w:val="178"/>
              <w:rPr>
                <w:rFonts w:eastAsia="宋体" w:cs="Times New Roman"/>
              </w:rPr>
            </w:pPr>
            <w:r>
              <w:rPr>
                <w:rFonts w:eastAsia="宋体" w:cs="Times New Roman"/>
              </w:rPr>
              <w:t>×</w:t>
            </w:r>
          </w:p>
        </w:tc>
        <w:tc>
          <w:tcPr>
            <w:tcW w:w="728" w:type="dxa"/>
            <w:vAlign w:val="center"/>
          </w:tcPr>
          <w:p w14:paraId="471BBFD2">
            <w:pPr>
              <w:pStyle w:val="178"/>
              <w:rPr>
                <w:rFonts w:eastAsia="宋体" w:cs="Times New Roman"/>
              </w:rPr>
            </w:pPr>
            <w:r>
              <w:rPr>
                <w:rFonts w:eastAsia="宋体" w:cs="Times New Roman"/>
              </w:rPr>
              <w:t>×</w:t>
            </w:r>
          </w:p>
        </w:tc>
        <w:tc>
          <w:tcPr>
            <w:tcW w:w="727" w:type="dxa"/>
            <w:vAlign w:val="center"/>
          </w:tcPr>
          <w:p w14:paraId="77760AED">
            <w:pPr>
              <w:pStyle w:val="178"/>
              <w:rPr>
                <w:rFonts w:eastAsia="宋体" w:cs="Times New Roman"/>
              </w:rPr>
            </w:pPr>
            <w:r>
              <w:rPr>
                <w:rFonts w:eastAsia="宋体" w:cs="Times New Roman"/>
              </w:rPr>
              <w:t>×</w:t>
            </w:r>
          </w:p>
        </w:tc>
        <w:tc>
          <w:tcPr>
            <w:tcW w:w="728" w:type="dxa"/>
            <w:vAlign w:val="center"/>
          </w:tcPr>
          <w:p w14:paraId="2121D149">
            <w:pPr>
              <w:pStyle w:val="178"/>
              <w:rPr>
                <w:rFonts w:eastAsia="宋体" w:cs="Times New Roman"/>
              </w:rPr>
            </w:pPr>
            <w:r>
              <w:rPr>
                <w:rFonts w:eastAsia="宋体" w:cs="Times New Roman"/>
              </w:rPr>
              <w:t>×</w:t>
            </w:r>
          </w:p>
        </w:tc>
        <w:tc>
          <w:tcPr>
            <w:tcW w:w="728" w:type="dxa"/>
            <w:vAlign w:val="center"/>
          </w:tcPr>
          <w:p w14:paraId="3EA6D364">
            <w:pPr>
              <w:pStyle w:val="178"/>
              <w:rPr>
                <w:rFonts w:eastAsia="宋体" w:cs="Times New Roman"/>
              </w:rPr>
            </w:pPr>
            <w:r>
              <w:rPr>
                <w:rFonts w:eastAsia="宋体" w:cs="Times New Roman"/>
              </w:rPr>
              <w:t>×</w:t>
            </w:r>
          </w:p>
        </w:tc>
        <w:tc>
          <w:tcPr>
            <w:tcW w:w="754" w:type="dxa"/>
            <w:tcBorders>
              <w:right w:val="single" w:color="000000" w:sz="6" w:space="0"/>
            </w:tcBorders>
            <w:vAlign w:val="center"/>
          </w:tcPr>
          <w:p w14:paraId="04206BD9">
            <w:pPr>
              <w:pStyle w:val="178"/>
              <w:rPr>
                <w:rFonts w:eastAsia="宋体" w:cs="Times New Roman"/>
              </w:rPr>
            </w:pPr>
            <w:r>
              <w:rPr>
                <w:rFonts w:eastAsia="宋体" w:cs="Times New Roman"/>
              </w:rPr>
              <w:t>×</w:t>
            </w:r>
          </w:p>
        </w:tc>
      </w:tr>
      <w:tr w14:paraId="28728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08" w:type="dxa"/>
            <w:tcBorders>
              <w:left w:val="single" w:color="000000" w:sz="6" w:space="0"/>
              <w:bottom w:val="single" w:color="000000" w:sz="6" w:space="0"/>
            </w:tcBorders>
            <w:vAlign w:val="center"/>
          </w:tcPr>
          <w:p w14:paraId="78031AAD">
            <w:pPr>
              <w:pStyle w:val="178"/>
              <w:rPr>
                <w:rFonts w:eastAsia="宋体" w:cs="Times New Roman"/>
              </w:rPr>
            </w:pPr>
            <w:r>
              <w:rPr>
                <w:rFonts w:eastAsia="宋体" w:cs="Times New Roman"/>
              </w:rPr>
              <w:t>6</w:t>
            </w:r>
          </w:p>
        </w:tc>
        <w:tc>
          <w:tcPr>
            <w:tcW w:w="728" w:type="dxa"/>
            <w:tcBorders>
              <w:bottom w:val="single" w:color="000000" w:sz="6" w:space="0"/>
            </w:tcBorders>
            <w:vAlign w:val="center"/>
          </w:tcPr>
          <w:p w14:paraId="6271F08A">
            <w:pPr>
              <w:pStyle w:val="178"/>
              <w:rPr>
                <w:rFonts w:eastAsia="宋体" w:cs="Times New Roman"/>
              </w:rPr>
            </w:pPr>
            <w:r>
              <w:rPr>
                <w:rFonts w:eastAsia="宋体" w:cs="Times New Roman"/>
              </w:rPr>
              <w:t>×</w:t>
            </w:r>
          </w:p>
        </w:tc>
        <w:tc>
          <w:tcPr>
            <w:tcW w:w="728" w:type="dxa"/>
            <w:tcBorders>
              <w:bottom w:val="single" w:color="000000" w:sz="6" w:space="0"/>
            </w:tcBorders>
            <w:vAlign w:val="center"/>
          </w:tcPr>
          <w:p w14:paraId="29AAAAC6">
            <w:pPr>
              <w:pStyle w:val="178"/>
              <w:rPr>
                <w:rFonts w:eastAsia="宋体" w:cs="Times New Roman"/>
              </w:rPr>
            </w:pPr>
            <w:r>
              <w:rPr>
                <w:rFonts w:eastAsia="宋体" w:cs="Times New Roman"/>
              </w:rPr>
              <w:t>×</w:t>
            </w:r>
          </w:p>
        </w:tc>
        <w:tc>
          <w:tcPr>
            <w:tcW w:w="728" w:type="dxa"/>
            <w:tcBorders>
              <w:bottom w:val="single" w:color="000000" w:sz="6" w:space="0"/>
            </w:tcBorders>
            <w:vAlign w:val="center"/>
          </w:tcPr>
          <w:p w14:paraId="60A777ED">
            <w:pPr>
              <w:pStyle w:val="178"/>
              <w:rPr>
                <w:rFonts w:eastAsia="宋体" w:cs="Times New Roman"/>
              </w:rPr>
            </w:pPr>
            <w:r>
              <w:rPr>
                <w:rFonts w:eastAsia="宋体" w:cs="Times New Roman"/>
              </w:rPr>
              <w:t>×</w:t>
            </w:r>
          </w:p>
        </w:tc>
        <w:tc>
          <w:tcPr>
            <w:tcW w:w="727" w:type="dxa"/>
            <w:tcBorders>
              <w:bottom w:val="single" w:color="000000" w:sz="6" w:space="0"/>
            </w:tcBorders>
            <w:vAlign w:val="center"/>
          </w:tcPr>
          <w:p w14:paraId="393BC70D">
            <w:pPr>
              <w:pStyle w:val="178"/>
              <w:rPr>
                <w:rFonts w:eastAsia="宋体" w:cs="Times New Roman"/>
              </w:rPr>
            </w:pPr>
            <w:r>
              <w:rPr>
                <w:rFonts w:eastAsia="宋体" w:cs="Times New Roman"/>
              </w:rPr>
              <w:t>×</w:t>
            </w:r>
          </w:p>
        </w:tc>
        <w:tc>
          <w:tcPr>
            <w:tcW w:w="728" w:type="dxa"/>
            <w:tcBorders>
              <w:bottom w:val="single" w:color="000000" w:sz="6" w:space="0"/>
            </w:tcBorders>
            <w:vAlign w:val="center"/>
          </w:tcPr>
          <w:p w14:paraId="51CFE8E2">
            <w:pPr>
              <w:pStyle w:val="178"/>
              <w:rPr>
                <w:rFonts w:eastAsia="宋体" w:cs="Times New Roman"/>
              </w:rPr>
            </w:pPr>
            <w:r>
              <w:rPr>
                <w:rFonts w:eastAsia="宋体" w:cs="Times New Roman"/>
              </w:rPr>
              <w:t>×</w:t>
            </w:r>
          </w:p>
        </w:tc>
        <w:tc>
          <w:tcPr>
            <w:tcW w:w="728" w:type="dxa"/>
            <w:tcBorders>
              <w:bottom w:val="single" w:color="000000" w:sz="6" w:space="0"/>
            </w:tcBorders>
            <w:vAlign w:val="center"/>
          </w:tcPr>
          <w:p w14:paraId="4374B871">
            <w:pPr>
              <w:pStyle w:val="178"/>
              <w:rPr>
                <w:rFonts w:eastAsia="宋体" w:cs="Times New Roman"/>
              </w:rPr>
            </w:pPr>
            <w:r>
              <w:rPr>
                <w:rFonts w:eastAsia="宋体" w:cs="Times New Roman"/>
              </w:rPr>
              <w:t>×</w:t>
            </w:r>
          </w:p>
        </w:tc>
        <w:tc>
          <w:tcPr>
            <w:tcW w:w="727" w:type="dxa"/>
            <w:tcBorders>
              <w:bottom w:val="single" w:color="000000" w:sz="6" w:space="0"/>
            </w:tcBorders>
            <w:vAlign w:val="center"/>
          </w:tcPr>
          <w:p w14:paraId="1EFC7929">
            <w:pPr>
              <w:pStyle w:val="178"/>
              <w:rPr>
                <w:rFonts w:eastAsia="宋体" w:cs="Times New Roman"/>
              </w:rPr>
            </w:pPr>
            <w:r>
              <w:rPr>
                <w:rFonts w:eastAsia="宋体" w:cs="Times New Roman"/>
              </w:rPr>
              <w:t>×</w:t>
            </w:r>
          </w:p>
        </w:tc>
        <w:tc>
          <w:tcPr>
            <w:tcW w:w="728" w:type="dxa"/>
            <w:tcBorders>
              <w:bottom w:val="single" w:color="000000" w:sz="6" w:space="0"/>
            </w:tcBorders>
            <w:vAlign w:val="center"/>
          </w:tcPr>
          <w:p w14:paraId="746E6DD7">
            <w:pPr>
              <w:pStyle w:val="178"/>
              <w:rPr>
                <w:rFonts w:eastAsia="宋体" w:cs="Times New Roman"/>
              </w:rPr>
            </w:pPr>
            <w:r>
              <w:rPr>
                <w:rFonts w:eastAsia="宋体" w:cs="Times New Roman"/>
              </w:rPr>
              <w:t>×</w:t>
            </w:r>
          </w:p>
        </w:tc>
        <w:tc>
          <w:tcPr>
            <w:tcW w:w="728" w:type="dxa"/>
            <w:tcBorders>
              <w:bottom w:val="single" w:color="000000" w:sz="6" w:space="0"/>
            </w:tcBorders>
            <w:vAlign w:val="center"/>
          </w:tcPr>
          <w:p w14:paraId="295A76B0">
            <w:pPr>
              <w:pStyle w:val="178"/>
              <w:rPr>
                <w:rFonts w:eastAsia="宋体" w:cs="Times New Roman"/>
              </w:rPr>
            </w:pPr>
            <w:r>
              <w:rPr>
                <w:rFonts w:eastAsia="宋体" w:cs="Times New Roman"/>
              </w:rPr>
              <w:t>×</w:t>
            </w:r>
          </w:p>
        </w:tc>
        <w:tc>
          <w:tcPr>
            <w:tcW w:w="754" w:type="dxa"/>
            <w:tcBorders>
              <w:bottom w:val="single" w:color="000000" w:sz="6" w:space="0"/>
              <w:right w:val="single" w:color="000000" w:sz="6" w:space="0"/>
            </w:tcBorders>
            <w:vAlign w:val="center"/>
          </w:tcPr>
          <w:p w14:paraId="28EBD32D">
            <w:pPr>
              <w:pStyle w:val="178"/>
              <w:rPr>
                <w:rFonts w:eastAsia="宋体" w:cs="Times New Roman"/>
              </w:rPr>
            </w:pPr>
            <w:r>
              <w:rPr>
                <w:rFonts w:eastAsia="宋体" w:cs="Times New Roman"/>
              </w:rPr>
              <w:t>×</w:t>
            </w:r>
          </w:p>
        </w:tc>
      </w:tr>
      <w:tr w14:paraId="36653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9312" w:type="dxa"/>
            <w:gridSpan w:val="11"/>
            <w:tcBorders>
              <w:top w:val="single" w:color="000000" w:sz="6" w:space="0"/>
              <w:left w:val="single" w:color="000000" w:sz="6" w:space="0"/>
              <w:bottom w:val="single" w:color="000000" w:sz="6" w:space="0"/>
              <w:right w:val="single" w:color="000000" w:sz="6" w:space="0"/>
            </w:tcBorders>
            <w:vAlign w:val="center"/>
          </w:tcPr>
          <w:p w14:paraId="21B4E520">
            <w:pPr>
              <w:pStyle w:val="178"/>
              <w:rPr>
                <w:rFonts w:eastAsia="宋体" w:cs="Times New Roman"/>
              </w:rPr>
            </w:pPr>
            <w:r>
              <w:rPr>
                <w:rFonts w:eastAsia="宋体" w:cs="Times New Roman"/>
              </w:rPr>
              <w:t>×：风险不可接受；</w:t>
            </w:r>
            <w:r>
              <w:rPr>
                <w:rFonts w:hint="eastAsia" w:hAnsi="宋体" w:eastAsia="宋体" w:cs="宋体"/>
              </w:rPr>
              <w:t>▽</w:t>
            </w:r>
            <w:r>
              <w:rPr>
                <w:rFonts w:eastAsia="宋体" w:cs="Times New Roman"/>
              </w:rPr>
              <w:t>：风险可接受，应尽可能将风险降到最低；√：风险可接受，可忽略的风险。</w:t>
            </w:r>
          </w:p>
        </w:tc>
      </w:tr>
    </w:tbl>
    <w:p w14:paraId="2653E6EC">
      <w:pPr>
        <w:pStyle w:val="78"/>
        <w:spacing w:before="120" w:after="120"/>
      </w:pPr>
      <w:bookmarkStart w:id="135" w:name="_Toc177558404"/>
      <w:bookmarkStart w:id="136" w:name="_Toc177558369"/>
      <w:r>
        <w:rPr>
          <w:rFonts w:hint="eastAsia"/>
        </w:rPr>
        <w:t>报告输出</w:t>
      </w:r>
      <w:bookmarkEnd w:id="135"/>
      <w:bookmarkEnd w:id="136"/>
    </w:p>
    <w:p w14:paraId="46ADE36C">
      <w:pPr>
        <w:pStyle w:val="56"/>
        <w:ind w:firstLine="420"/>
        <w:rPr>
          <w:rFonts w:hint="eastAsia"/>
        </w:rPr>
      </w:pPr>
      <w:r>
        <w:rPr>
          <w:rFonts w:hint="eastAsia"/>
        </w:rPr>
        <w:t>依次完成“可采取的措施”、“采取措施后的</w:t>
      </w:r>
      <w:r>
        <w:rPr>
          <w:rFonts w:hint="eastAsia"/>
          <w:lang w:eastAsia="zh-CN"/>
        </w:rPr>
        <w:t>危害性</w:t>
      </w:r>
      <w:r>
        <w:rPr>
          <w:rFonts w:hint="eastAsia"/>
        </w:rPr>
        <w:t>评价”等工作，即可完成对机械臂关节 1 的PFMECA</w:t>
      </w:r>
      <w:r>
        <w:t xml:space="preserve"> </w:t>
      </w:r>
      <w:r>
        <w:rPr>
          <w:rFonts w:hint="eastAsia"/>
        </w:rPr>
        <w:t>报表。</w:t>
      </w:r>
      <w:bookmarkEnd w:id="98"/>
    </w:p>
    <w:p w14:paraId="7D5E72D8">
      <w:pPr>
        <w:pStyle w:val="56"/>
        <w:ind w:firstLine="420"/>
        <w:rPr>
          <w:rFonts w:hint="default" w:eastAsia="宋体"/>
          <w:highlight w:val="yellow"/>
          <w:lang w:val="en-US" w:eastAsia="zh-CN"/>
        </w:rPr>
      </w:pPr>
    </w:p>
    <w:sectPr>
      <w:headerReference r:id="rId18" w:type="default"/>
      <w:footerReference r:id="rId20" w:type="default"/>
      <w:headerReference r:id="rId19" w:type="even"/>
      <w:footerReference r:id="rId21" w:type="even"/>
      <w:pgSz w:w="11906" w:h="16838"/>
      <w:pgMar w:top="1928" w:right="1134" w:bottom="1134" w:left="1134" w:header="1418" w:footer="1134" w:gutter="284"/>
      <w:pgBorders>
        <w:top w:val="none" w:sz="0" w:space="0"/>
        <w:left w:val="none" w:sz="0" w:space="0"/>
        <w:bottom w:val="none" w:sz="0" w:space="0"/>
        <w:right w:val="none" w:sz="0" w:space="0"/>
      </w:pgBorders>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21EC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4CCE5">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898EC">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05631">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38884">
    <w:pPr>
      <w:pStyle w:val="52"/>
    </w:pPr>
    <w:r>
      <mc:AlternateContent>
        <mc:Choice Requires="wps">
          <w:drawing>
            <wp:anchor distT="0" distB="0" distL="114300" distR="114300" simplePos="0" relativeHeight="251661312" behindDoc="0" locked="0" layoutInCell="1" allowOverlap="1">
              <wp:simplePos x="0" y="0"/>
              <wp:positionH relativeFrom="page">
                <wp:posOffset>719455</wp:posOffset>
              </wp:positionH>
              <wp:positionV relativeFrom="page">
                <wp:posOffset>6425565</wp:posOffset>
              </wp:positionV>
              <wp:extent cx="1828800" cy="1828800"/>
              <wp:effectExtent l="0" t="0" r="0" b="508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B74E162">
                          <w:pPr>
                            <w:pStyle w:val="52"/>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_x0000_s1026" o:spid="_x0000_s1026" o:spt="202" type="#_x0000_t202" style="position:absolute;left:0pt;margin-left:56.65pt;margin-top:505.95pt;height:144pt;width:144pt;mso-position-horizontal-relative:page;mso-position-vertical-relative:page;mso-wrap-style:none;z-index:251661312;v-text-anchor:bottom;mso-width-relative:page;mso-height-relative:page;" filled="f" stroked="f" coordsize="21600,21600" o:gfxdata="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UGlFjaAAAADQEAAA8AAAAAAAAAAQAgAAAAIgAAAGRycy9k&#10;b3ducmV2LnhtbFBLAQIUABQAAAAIAIdO4kC1TD6YOQIAAGcEAAAOAAAAAAAAAAEAIAAAACkBAABk&#10;cnMvZTJvRG9jLnhtbFBLBQYAAAAABgAGAFkBAADUBQAAAAA=&#10;">
              <v:fill on="f" focussize="0,0"/>
              <v:stroke on="f" weight="0.5pt"/>
              <v:imagedata o:title=""/>
              <o:lock v:ext="edit" aspectratio="f"/>
              <v:textbox style="layout-flow:vertical-ideographic;mso-fit-shape-to-text:t;">
                <w:txbxContent>
                  <w:p w14:paraId="2B74E162">
                    <w:pPr>
                      <w:pStyle w:val="52"/>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04C1C">
    <w:pPr>
      <w:pStyle w:val="17"/>
    </w:pPr>
    <w:r>
      <mc:AlternateContent>
        <mc:Choice Requires="wps">
          <w:drawing>
            <wp:anchor distT="0" distB="0" distL="114300" distR="114300" simplePos="0" relativeHeight="251663360" behindDoc="0" locked="0" layoutInCell="1" allowOverlap="1">
              <wp:simplePos x="0" y="0"/>
              <wp:positionH relativeFrom="page">
                <wp:posOffset>719455</wp:posOffset>
              </wp:positionH>
              <wp:positionV relativeFrom="page">
                <wp:posOffset>863600</wp:posOffset>
              </wp:positionV>
              <wp:extent cx="1828800" cy="1828800"/>
              <wp:effectExtent l="0" t="0" r="11430" b="12065"/>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0A1ACB4">
                          <w:pPr>
                            <w:pStyle w:val="17"/>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_x0000_s1026" o:spid="_x0000_s1026" o:spt="202" type="#_x0000_t202" style="position:absolute;left:0pt;margin-left:56.65pt;margin-top:68pt;height:144pt;width:144pt;mso-position-horizontal-relative:page;mso-position-vertical-relative:page;mso-wrap-style:none;z-index:251663360;v-text-anchor:bottom;mso-width-relative:page;mso-height-relative:page;" filled="f" stroked="f" coordsize="21600,21600" o:gfxdata="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gYhOXWAAAACwEAAA8AAAAAAAAAAQAgAAAAIgAAAGRycy9kb3ducmV2LnhtbFBLAQIU&#10;ABQAAAAIAIdO4kDq5mAJLgIAAFkEAAAOAAAAAAAAAAEAIAAAACUBAABkcnMvZTJvRG9jLnhtbFBL&#10;BQYAAAAABgAGAFkBAADFBQAAAAA=&#10;">
              <v:fill on="f" focussize="0,0"/>
              <v:stroke on="f" weight="0.5pt"/>
              <v:imagedata o:title=""/>
              <o:lock v:ext="edit" aspectratio="f"/>
              <v:textbox inset="0mm,0mm,0mm,0mm" style="layout-flow:vertical-ideographic;mso-fit-shape-to-text:t;">
                <w:txbxContent>
                  <w:p w14:paraId="10A1ACB4">
                    <w:pPr>
                      <w:pStyle w:val="17"/>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0B177">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6CF0C">
    <w:pPr>
      <w:pStyle w:val="17"/>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6F0F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1D62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8C81B">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C23D7">
    <w:pPr>
      <w:pStyle w:val="61"/>
    </w:pPr>
    <w:r>
      <w:fldChar w:fldCharType="begin"/>
    </w:r>
    <w:r>
      <w:instrText xml:space="preserve"> STYLEREF  标准文件_文件编号  \* MERGEFORMAT </w:instrText>
    </w:r>
    <w:r>
      <w:fldChar w:fldCharType="separate"/>
    </w:r>
    <w:r>
      <w:t>YY/T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DAC59">
    <w:pPr>
      <w:pStyle w:val="18"/>
      <w:jc w:val="right"/>
    </w:pPr>
    <w:r>
      <w:fldChar w:fldCharType="begin"/>
    </w:r>
    <w:r>
      <w:instrText xml:space="preserve"> STYLEREF  标准文件_文件编号  \* MERGEFORMAT </w:instrText>
    </w:r>
    <w:r>
      <w:fldChar w:fldCharType="separate"/>
    </w:r>
    <w:r>
      <w:t>YY/T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8BC5F">
    <w:pPr>
      <w:pStyle w:val="61"/>
    </w:pPr>
    <w:r>
      <mc:AlternateContent>
        <mc:Choice Requires="wps">
          <w:drawing>
            <wp:anchor distT="0" distB="0" distL="114300" distR="114300" simplePos="0" relativeHeight="251659264" behindDoc="0" locked="0" layoutInCell="1" allowOverlap="1">
              <wp:simplePos x="0" y="0"/>
              <wp:positionH relativeFrom="page">
                <wp:posOffset>9539605</wp:posOffset>
              </wp:positionH>
              <wp:positionV relativeFrom="page">
                <wp:posOffset>5104765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D7F9733">
                          <w:pPr>
                            <w:pStyle w:val="61"/>
                          </w:pPr>
                          <w:r>
                            <w:fldChar w:fldCharType="begin"/>
                          </w:r>
                          <w:r>
                            <w:instrText xml:space="preserve"> STYLEREF  标准文件_文件编号  \* MERGEFORMAT </w:instrText>
                          </w:r>
                          <w:r>
                            <w:fldChar w:fldCharType="separate"/>
                          </w:r>
                          <w:r>
                            <w:t>YY/T XXXXX—XXXX</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_x0000_s1026" o:spid="_x0000_s1026" o:spt="202" type="#_x0000_t202" style="position:absolute;left:0pt;margin-left:751.15pt;margin-top:401.95pt;height:144pt;width:144pt;mso-position-horizontal-relative:page;mso-position-vertical-relative:page;mso-wrap-style:none;z-index:251659264;v-text-anchor:bottom;mso-width-relative:page;mso-height-relative:page;" filled="f" stroked="f" coordsize="21600,21600" o:gfxdata="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6vAXB3AAAAA4BAAAPAAAAAAAAAAEAIAAAACIAAABkcnMv&#10;ZG93bnJldi54bWxQSwECFAAUAAAACACHTuJAizQlhzgCAABnBAAADgAAAAAAAAABACAAAAArAQAA&#10;ZHJzL2Uyb0RvYy54bWxQSwUGAAAAAAYABgBZAQAA1QUAAAAA&#10;">
              <v:fill on="f" focussize="0,0"/>
              <v:stroke on="f" weight="0.5pt"/>
              <v:imagedata o:title=""/>
              <o:lock v:ext="edit" aspectratio="f"/>
              <v:textbox style="layout-flow:vertical-ideographic;mso-fit-shape-to-text:t;">
                <w:txbxContent>
                  <w:p w14:paraId="7D7F9733">
                    <w:pPr>
                      <w:pStyle w:val="61"/>
                    </w:pPr>
                    <w:r>
                      <w:fldChar w:fldCharType="begin"/>
                    </w:r>
                    <w:r>
                      <w:instrText xml:space="preserve"> STYLEREF  标准文件_文件编号  \* MERGEFORMAT </w:instrText>
                    </w:r>
                    <w:r>
                      <w:fldChar w:fldCharType="separate"/>
                    </w:r>
                    <w:r>
                      <w:t>YY/T XXXXX—XXXX</w:t>
                    </w:r>
                    <w: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86545">
    <w:pPr>
      <w:pStyle w:val="62"/>
    </w:pPr>
    <w:r>
      <mc:AlternateContent>
        <mc:Choice Requires="wps">
          <w:drawing>
            <wp:anchor distT="0" distB="0" distL="114300" distR="114300" simplePos="0" relativeHeight="251662336" behindDoc="0" locked="0" layoutInCell="1" allowOverlap="1">
              <wp:simplePos x="0" y="0"/>
              <wp:positionH relativeFrom="page">
                <wp:posOffset>9719945</wp:posOffset>
              </wp:positionH>
              <wp:positionV relativeFrom="page">
                <wp:posOffset>899795</wp:posOffset>
              </wp:positionV>
              <wp:extent cx="1828800" cy="1828800"/>
              <wp:effectExtent l="0" t="0" r="5080" b="12065"/>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44FF96A">
                          <w:pPr>
                            <w:pStyle w:val="62"/>
                          </w:pPr>
                          <w:r>
                            <w:fldChar w:fldCharType="begin"/>
                          </w:r>
                          <w:r>
                            <w:instrText xml:space="preserve"> STYLEREF  标准文件_文件编号 \* MERGEFORMAT </w:instrText>
                          </w:r>
                          <w:r>
                            <w:fldChar w:fldCharType="separate"/>
                          </w:r>
                          <w:r>
                            <w:t>YY/T XXXXX—XXXX</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_x0000_s1026" o:spid="_x0000_s1026" o:spt="202" type="#_x0000_t202" style="position:absolute;left:0pt;margin-left:765.35pt;margin-top:70.85pt;height:144pt;width:144pt;mso-position-horizontal-relative:page;mso-position-vertical-relative:page;mso-wrap-style:none;z-index:251662336;v-text-anchor:bottom;mso-width-relative:page;mso-height-relative:page;" filled="f" stroked="f" coordsize="21600,21600" o:gfxdata="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LIuxzZAAAADQEAAA8AAAAAAAAAAQAgAAAAIgAAAGRycy9kb3ducmV2LnhtbFBL&#10;AQIUABQAAAAIAIdO4kB1rdNnLgIAAFkEAAAOAAAAAAAAAAEAIAAAACgBAABkcnMvZTJvRG9jLnht&#10;bFBLBQYAAAAABgAGAFkBAADIBQAAAAA=&#10;">
              <v:fill on="f" focussize="0,0"/>
              <v:stroke on="f" weight="0.5pt"/>
              <v:imagedata o:title=""/>
              <o:lock v:ext="edit" aspectratio="f"/>
              <v:textbox inset="0mm,0mm,0mm,0mm" style="layout-flow:vertical-ideographic;mso-fit-shape-to-text:t;">
                <w:txbxContent>
                  <w:p w14:paraId="144FF96A">
                    <w:pPr>
                      <w:pStyle w:val="62"/>
                    </w:pPr>
                    <w:r>
                      <w:fldChar w:fldCharType="begin"/>
                    </w:r>
                    <w:r>
                      <w:instrText xml:space="preserve"> STYLEREF  标准文件_文件编号 \* MERGEFORMAT </w:instrText>
                    </w:r>
                    <w:r>
                      <w:fldChar w:fldCharType="separate"/>
                    </w:r>
                    <w:r>
                      <w:t>YY/T XXXXX—XXXX</w:t>
                    </w:r>
                    <w:r>
                      <w:fldChar w:fldCharType="end"/>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46916">
    <w:pPr>
      <w:pStyle w:val="61"/>
    </w:pPr>
    <w:r>
      <w:fldChar w:fldCharType="begin"/>
    </w:r>
    <w:r>
      <w:instrText xml:space="preserve"> STYLEREF  标准文件_文件编号  \* MERGEFORMAT </w:instrText>
    </w:r>
    <w:r>
      <w:fldChar w:fldCharType="separate"/>
    </w:r>
    <w:r>
      <w:t>YY/T XXXXX—XXXX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E0838">
    <w:pPr>
      <w:pStyle w:val="18"/>
      <w:jc w:val="right"/>
    </w:pPr>
    <w:r>
      <w:fldChar w:fldCharType="begin"/>
    </w:r>
    <w:r>
      <w:instrText xml:space="preserve"> STYLEREF  标准文件_文件编号  \* MERGEFORMAT </w:instrText>
    </w:r>
    <w:r>
      <w:fldChar w:fldCharType="separate"/>
    </w:r>
    <w:r>
      <w:t>YY/T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2B2AD"/>
    <w:multiLevelType w:val="multilevel"/>
    <w:tmpl w:val="84D2B2AD"/>
    <w:lvl w:ilvl="0" w:tentative="0">
      <w:start w:val="1"/>
      <w:numFmt w:val="none"/>
      <w:pStyle w:val="179"/>
      <w:lvlText w:val="%1注："/>
      <w:lvlJc w:val="left"/>
      <w:pPr>
        <w:ind w:left="658"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suff w:val="space"/>
      <w:lvlText w:val="%5)"/>
      <w:lvlJc w:val="left"/>
      <w:pPr>
        <w:tabs>
          <w:tab w:val="left" w:pos="1140"/>
        </w:tabs>
        <w:ind w:left="726" w:hanging="363"/>
      </w:pPr>
      <w:rPr>
        <w:rFonts w:hint="default"/>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6E62E5E"/>
    <w:multiLevelType w:val="multilevel"/>
    <w:tmpl w:val="16E62E5E"/>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96E46B5"/>
    <w:multiLevelType w:val="multilevel"/>
    <w:tmpl w:val="196E46B5"/>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9C25ADD"/>
    <w:multiLevelType w:val="multilevel"/>
    <w:tmpl w:val="19C25ADD"/>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1F0B3213"/>
    <w:multiLevelType w:val="multilevel"/>
    <w:tmpl w:val="1F0B3213"/>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2EFB1FF8"/>
    <w:multiLevelType w:val="multilevel"/>
    <w:tmpl w:val="2EFB1FF8"/>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3B295F4A"/>
    <w:multiLevelType w:val="multilevel"/>
    <w:tmpl w:val="3B295F4A"/>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3E921B68"/>
    <w:multiLevelType w:val="multilevel"/>
    <w:tmpl w:val="3E921B68"/>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3">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5">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6">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9">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0">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1">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6F750BB"/>
    <w:multiLevelType w:val="multilevel"/>
    <w:tmpl w:val="66F750BB"/>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4">
    <w:nsid w:val="69DE27B0"/>
    <w:multiLevelType w:val="multilevel"/>
    <w:tmpl w:val="69DE27B0"/>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8">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9">
    <w:nsid w:val="71121FC7"/>
    <w:multiLevelType w:val="multilevel"/>
    <w:tmpl w:val="71121FC7"/>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7E525AF1"/>
    <w:multiLevelType w:val="multilevel"/>
    <w:tmpl w:val="7E525AF1"/>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37"/>
  </w:num>
  <w:num w:numId="3">
    <w:abstractNumId w:val="6"/>
  </w:num>
  <w:num w:numId="4">
    <w:abstractNumId w:val="31"/>
  </w:num>
  <w:num w:numId="5">
    <w:abstractNumId w:val="26"/>
  </w:num>
  <w:num w:numId="6">
    <w:abstractNumId w:val="21"/>
  </w:num>
  <w:num w:numId="7">
    <w:abstractNumId w:val="12"/>
  </w:num>
  <w:num w:numId="8">
    <w:abstractNumId w:val="4"/>
  </w:num>
  <w:num w:numId="9">
    <w:abstractNumId w:val="13"/>
  </w:num>
  <w:num w:numId="10">
    <w:abstractNumId w:val="24"/>
  </w:num>
  <w:num w:numId="11">
    <w:abstractNumId w:val="35"/>
  </w:num>
  <w:num w:numId="12">
    <w:abstractNumId w:val="17"/>
  </w:num>
  <w:num w:numId="13">
    <w:abstractNumId w:val="20"/>
  </w:num>
  <w:num w:numId="14">
    <w:abstractNumId w:val="11"/>
  </w:num>
  <w:num w:numId="15">
    <w:abstractNumId w:val="27"/>
  </w:num>
  <w:num w:numId="16">
    <w:abstractNumId w:val="29"/>
  </w:num>
  <w:num w:numId="17">
    <w:abstractNumId w:val="25"/>
  </w:num>
  <w:num w:numId="18">
    <w:abstractNumId w:val="38"/>
  </w:num>
  <w:num w:numId="19">
    <w:abstractNumId w:val="23"/>
  </w:num>
  <w:num w:numId="20">
    <w:abstractNumId w:val="2"/>
  </w:num>
  <w:num w:numId="21">
    <w:abstractNumId w:val="15"/>
  </w:num>
  <w:num w:numId="22">
    <w:abstractNumId w:val="40"/>
  </w:num>
  <w:num w:numId="23">
    <w:abstractNumId w:val="28"/>
  </w:num>
  <w:num w:numId="24">
    <w:abstractNumId w:val="7"/>
  </w:num>
  <w:num w:numId="25">
    <w:abstractNumId w:val="36"/>
  </w:num>
  <w:num w:numId="26">
    <w:abstractNumId w:val="0"/>
  </w:num>
  <w:num w:numId="27">
    <w:abstractNumId w:val="3"/>
  </w:num>
  <w:num w:numId="28">
    <w:abstractNumId w:val="5"/>
  </w:num>
  <w:num w:numId="29">
    <w:abstractNumId w:val="22"/>
  </w:num>
  <w:num w:numId="30">
    <w:abstractNumId w:val="33"/>
  </w:num>
  <w:num w:numId="31">
    <w:abstractNumId w:val="3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2"/>
  </w:num>
  <w:num w:numId="35">
    <w:abstractNumId w:val="39"/>
  </w:num>
  <w:num w:numId="36">
    <w:abstractNumId w:val="19"/>
  </w:num>
  <w:num w:numId="37">
    <w:abstractNumId w:val="34"/>
  </w:num>
  <w:num w:numId="38">
    <w:abstractNumId w:val="8"/>
  </w:num>
  <w:num w:numId="39">
    <w:abstractNumId w:val="14"/>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0"/>
  </w:num>
  <w:num w:numId="43">
    <w:abstractNumId w:val="16"/>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1" w:cryptProviderType="rsaAES" w:cryptAlgorithmClass="hash" w:cryptAlgorithmType="typeAny" w:cryptAlgorithmSid="14" w:cryptSpinCount="100000" w:hash="XH5VYGxRTTe4DEH6dRZc2GEdCMcnIrqmnTJn7Yjr52/dCuY2rgpGuKsi0d/L26d1vUjVfZIMzHIlsgRSseTGZg==" w:salt="ttdlHJaG7cIH4x4eh7ODE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2MGZkMGM1MDk5Y2YyNjdmN2RmYWRlYjI2NDNhZWIifQ=="/>
  </w:docVars>
  <w:rsids>
    <w:rsidRoot w:val="004425F9"/>
    <w:rsid w:val="0000040A"/>
    <w:rsid w:val="00000A94"/>
    <w:rsid w:val="00001972"/>
    <w:rsid w:val="00001D9A"/>
    <w:rsid w:val="00007B3A"/>
    <w:rsid w:val="000107E0"/>
    <w:rsid w:val="00011FDE"/>
    <w:rsid w:val="00012FFD"/>
    <w:rsid w:val="00014162"/>
    <w:rsid w:val="00014340"/>
    <w:rsid w:val="00016A9C"/>
    <w:rsid w:val="00017EA2"/>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0FAD"/>
    <w:rsid w:val="0005135A"/>
    <w:rsid w:val="000515DD"/>
    <w:rsid w:val="0005265A"/>
    <w:rsid w:val="000539DD"/>
    <w:rsid w:val="00053BD3"/>
    <w:rsid w:val="000556ED"/>
    <w:rsid w:val="00055FE2"/>
    <w:rsid w:val="0005616F"/>
    <w:rsid w:val="00057AED"/>
    <w:rsid w:val="00060C2E"/>
    <w:rsid w:val="00061033"/>
    <w:rsid w:val="000619E9"/>
    <w:rsid w:val="000622D4"/>
    <w:rsid w:val="0006357D"/>
    <w:rsid w:val="00067F1E"/>
    <w:rsid w:val="00071CC0"/>
    <w:rsid w:val="0007253A"/>
    <w:rsid w:val="00073C8C"/>
    <w:rsid w:val="00077B64"/>
    <w:rsid w:val="00080A1C"/>
    <w:rsid w:val="00082317"/>
    <w:rsid w:val="00083D2C"/>
    <w:rsid w:val="0008425F"/>
    <w:rsid w:val="0008484F"/>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117E"/>
    <w:rsid w:val="000E4C9E"/>
    <w:rsid w:val="000E6FD7"/>
    <w:rsid w:val="000F06E1"/>
    <w:rsid w:val="000F0E3C"/>
    <w:rsid w:val="000F19D5"/>
    <w:rsid w:val="000F4AEA"/>
    <w:rsid w:val="000F67E9"/>
    <w:rsid w:val="00104926"/>
    <w:rsid w:val="00113B1E"/>
    <w:rsid w:val="0011711C"/>
    <w:rsid w:val="001205F2"/>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B92"/>
    <w:rsid w:val="00153C7E"/>
    <w:rsid w:val="00156B25"/>
    <w:rsid w:val="00156E1A"/>
    <w:rsid w:val="00157B55"/>
    <w:rsid w:val="001642FA"/>
    <w:rsid w:val="001649EB"/>
    <w:rsid w:val="00164BAF"/>
    <w:rsid w:val="00164FA8"/>
    <w:rsid w:val="00165065"/>
    <w:rsid w:val="0016516F"/>
    <w:rsid w:val="00165434"/>
    <w:rsid w:val="0016580B"/>
    <w:rsid w:val="00165F49"/>
    <w:rsid w:val="00166B88"/>
    <w:rsid w:val="0016770A"/>
    <w:rsid w:val="00170804"/>
    <w:rsid w:val="001708E9"/>
    <w:rsid w:val="0017340B"/>
    <w:rsid w:val="00173FB1"/>
    <w:rsid w:val="00175C81"/>
    <w:rsid w:val="00176DFD"/>
    <w:rsid w:val="001852C9"/>
    <w:rsid w:val="00190087"/>
    <w:rsid w:val="001913C4"/>
    <w:rsid w:val="0019348F"/>
    <w:rsid w:val="00193A07"/>
    <w:rsid w:val="00194C95"/>
    <w:rsid w:val="001952A6"/>
    <w:rsid w:val="00195C34"/>
    <w:rsid w:val="001A061C"/>
    <w:rsid w:val="001A1A53"/>
    <w:rsid w:val="001A234A"/>
    <w:rsid w:val="001A3E2B"/>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24D"/>
    <w:rsid w:val="001E73AB"/>
    <w:rsid w:val="001F092D"/>
    <w:rsid w:val="001F143A"/>
    <w:rsid w:val="001F1605"/>
    <w:rsid w:val="001F2508"/>
    <w:rsid w:val="001F41E1"/>
    <w:rsid w:val="001F4816"/>
    <w:rsid w:val="001F69B4"/>
    <w:rsid w:val="001F77C7"/>
    <w:rsid w:val="00200183"/>
    <w:rsid w:val="0020107D"/>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36739"/>
    <w:rsid w:val="002420F0"/>
    <w:rsid w:val="00243540"/>
    <w:rsid w:val="0024497B"/>
    <w:rsid w:val="0024515B"/>
    <w:rsid w:val="00246021"/>
    <w:rsid w:val="0024666E"/>
    <w:rsid w:val="00246FD4"/>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583"/>
    <w:rsid w:val="00296AF0"/>
    <w:rsid w:val="00296C66"/>
    <w:rsid w:val="00296EBE"/>
    <w:rsid w:val="002974E3"/>
    <w:rsid w:val="002A084B"/>
    <w:rsid w:val="002A1260"/>
    <w:rsid w:val="002A1589"/>
    <w:rsid w:val="002A1608"/>
    <w:rsid w:val="002A16E9"/>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A23"/>
    <w:rsid w:val="002D6DA6"/>
    <w:rsid w:val="002D6EC6"/>
    <w:rsid w:val="002D79AC"/>
    <w:rsid w:val="002E039D"/>
    <w:rsid w:val="002E4D5A"/>
    <w:rsid w:val="002E6326"/>
    <w:rsid w:val="002F30E0"/>
    <w:rsid w:val="002F35E4"/>
    <w:rsid w:val="002F3730"/>
    <w:rsid w:val="002F38E1"/>
    <w:rsid w:val="002F7AF6"/>
    <w:rsid w:val="00300432"/>
    <w:rsid w:val="00300E63"/>
    <w:rsid w:val="00302F5F"/>
    <w:rsid w:val="00303774"/>
    <w:rsid w:val="0030441D"/>
    <w:rsid w:val="00306063"/>
    <w:rsid w:val="00313B85"/>
    <w:rsid w:val="00317988"/>
    <w:rsid w:val="003221B4"/>
    <w:rsid w:val="00322E62"/>
    <w:rsid w:val="0032300B"/>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76AD2"/>
    <w:rsid w:val="00381815"/>
    <w:rsid w:val="003819AF"/>
    <w:rsid w:val="003820E9"/>
    <w:rsid w:val="00382DE7"/>
    <w:rsid w:val="00384FFC"/>
    <w:rsid w:val="00387129"/>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3D5A"/>
    <w:rsid w:val="003B5BF0"/>
    <w:rsid w:val="003B60BF"/>
    <w:rsid w:val="003B6BE3"/>
    <w:rsid w:val="003C010C"/>
    <w:rsid w:val="003C0A6C"/>
    <w:rsid w:val="003C2859"/>
    <w:rsid w:val="003C5A43"/>
    <w:rsid w:val="003D0519"/>
    <w:rsid w:val="003D0FF6"/>
    <w:rsid w:val="003D262C"/>
    <w:rsid w:val="003D35D9"/>
    <w:rsid w:val="003D6D61"/>
    <w:rsid w:val="003E091D"/>
    <w:rsid w:val="003E1C53"/>
    <w:rsid w:val="003E2A69"/>
    <w:rsid w:val="003E2D49"/>
    <w:rsid w:val="003E2FD4"/>
    <w:rsid w:val="003E4622"/>
    <w:rsid w:val="003E49F6"/>
    <w:rsid w:val="003E55AF"/>
    <w:rsid w:val="003F0841"/>
    <w:rsid w:val="003F23D3"/>
    <w:rsid w:val="003F3F08"/>
    <w:rsid w:val="003F49F1"/>
    <w:rsid w:val="003F6272"/>
    <w:rsid w:val="003F72A3"/>
    <w:rsid w:val="00400E72"/>
    <w:rsid w:val="00401400"/>
    <w:rsid w:val="00402C8F"/>
    <w:rsid w:val="00404869"/>
    <w:rsid w:val="00405884"/>
    <w:rsid w:val="00407D39"/>
    <w:rsid w:val="0041477A"/>
    <w:rsid w:val="004167A3"/>
    <w:rsid w:val="00432DAA"/>
    <w:rsid w:val="00434305"/>
    <w:rsid w:val="00435186"/>
    <w:rsid w:val="00435DF7"/>
    <w:rsid w:val="0044083F"/>
    <w:rsid w:val="00441AE7"/>
    <w:rsid w:val="004425F9"/>
    <w:rsid w:val="00445574"/>
    <w:rsid w:val="004467FB"/>
    <w:rsid w:val="00446891"/>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2C07"/>
    <w:rsid w:val="004C3F1D"/>
    <w:rsid w:val="004C458D"/>
    <w:rsid w:val="004C7556"/>
    <w:rsid w:val="004C7E9D"/>
    <w:rsid w:val="004C7F67"/>
    <w:rsid w:val="004D076D"/>
    <w:rsid w:val="004D0EF1"/>
    <w:rsid w:val="004D189E"/>
    <w:rsid w:val="004D2253"/>
    <w:rsid w:val="004D4406"/>
    <w:rsid w:val="004D570F"/>
    <w:rsid w:val="004D7C42"/>
    <w:rsid w:val="004E0465"/>
    <w:rsid w:val="004E127B"/>
    <w:rsid w:val="004E1C0A"/>
    <w:rsid w:val="004E3014"/>
    <w:rsid w:val="004E30C5"/>
    <w:rsid w:val="004E35AA"/>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24E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02AA"/>
    <w:rsid w:val="00573D9E"/>
    <w:rsid w:val="005801E3"/>
    <w:rsid w:val="00581802"/>
    <w:rsid w:val="005836A8"/>
    <w:rsid w:val="0058409C"/>
    <w:rsid w:val="00584262"/>
    <w:rsid w:val="00586630"/>
    <w:rsid w:val="00587ADD"/>
    <w:rsid w:val="00593544"/>
    <w:rsid w:val="00596160"/>
    <w:rsid w:val="005966E2"/>
    <w:rsid w:val="00596B40"/>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B777C"/>
    <w:rsid w:val="005C21AB"/>
    <w:rsid w:val="005C29B8"/>
    <w:rsid w:val="005C51B6"/>
    <w:rsid w:val="005C5F21"/>
    <w:rsid w:val="005C7156"/>
    <w:rsid w:val="005D0C75"/>
    <w:rsid w:val="005D1E63"/>
    <w:rsid w:val="005D4171"/>
    <w:rsid w:val="005D6A95"/>
    <w:rsid w:val="005D6B2C"/>
    <w:rsid w:val="005D6D9C"/>
    <w:rsid w:val="005E2335"/>
    <w:rsid w:val="005E34CA"/>
    <w:rsid w:val="005E3C18"/>
    <w:rsid w:val="005E3F56"/>
    <w:rsid w:val="005E6318"/>
    <w:rsid w:val="005E6812"/>
    <w:rsid w:val="005E7829"/>
    <w:rsid w:val="005E7881"/>
    <w:rsid w:val="005E78E0"/>
    <w:rsid w:val="005F0D9C"/>
    <w:rsid w:val="005F284E"/>
    <w:rsid w:val="006015CE"/>
    <w:rsid w:val="00604784"/>
    <w:rsid w:val="00606419"/>
    <w:rsid w:val="00607D29"/>
    <w:rsid w:val="00611F6E"/>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332E"/>
    <w:rsid w:val="0064528D"/>
    <w:rsid w:val="00645904"/>
    <w:rsid w:val="00650A17"/>
    <w:rsid w:val="00651ACB"/>
    <w:rsid w:val="00651C47"/>
    <w:rsid w:val="00652AB2"/>
    <w:rsid w:val="00654EC0"/>
    <w:rsid w:val="0065525B"/>
    <w:rsid w:val="00655662"/>
    <w:rsid w:val="00655D4F"/>
    <w:rsid w:val="00661CD9"/>
    <w:rsid w:val="006640E5"/>
    <w:rsid w:val="006646F1"/>
    <w:rsid w:val="00664929"/>
    <w:rsid w:val="00664F62"/>
    <w:rsid w:val="006655E1"/>
    <w:rsid w:val="00666E49"/>
    <w:rsid w:val="00672060"/>
    <w:rsid w:val="00672BFD"/>
    <w:rsid w:val="006762A4"/>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38DF"/>
    <w:rsid w:val="006B54BF"/>
    <w:rsid w:val="006B5F44"/>
    <w:rsid w:val="006B5F90"/>
    <w:rsid w:val="006B62E4"/>
    <w:rsid w:val="006B7562"/>
    <w:rsid w:val="006C10A0"/>
    <w:rsid w:val="006C1BBA"/>
    <w:rsid w:val="006C2079"/>
    <w:rsid w:val="006C317D"/>
    <w:rsid w:val="006C5A62"/>
    <w:rsid w:val="006C5D68"/>
    <w:rsid w:val="006C6976"/>
    <w:rsid w:val="006C6DD0"/>
    <w:rsid w:val="006D04EA"/>
    <w:rsid w:val="006D1008"/>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6FBF"/>
    <w:rsid w:val="00707669"/>
    <w:rsid w:val="00711CBA"/>
    <w:rsid w:val="00711FB5"/>
    <w:rsid w:val="00712A01"/>
    <w:rsid w:val="00712BA9"/>
    <w:rsid w:val="00714F58"/>
    <w:rsid w:val="007172AF"/>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067F"/>
    <w:rsid w:val="0076080D"/>
    <w:rsid w:val="00763392"/>
    <w:rsid w:val="00765C43"/>
    <w:rsid w:val="00765EFB"/>
    <w:rsid w:val="007671CA"/>
    <w:rsid w:val="0076744F"/>
    <w:rsid w:val="00767C61"/>
    <w:rsid w:val="0077008A"/>
    <w:rsid w:val="00773AB2"/>
    <w:rsid w:val="00773C1F"/>
    <w:rsid w:val="00774DA4"/>
    <w:rsid w:val="00776599"/>
    <w:rsid w:val="0078114B"/>
    <w:rsid w:val="00781DD2"/>
    <w:rsid w:val="00783ECF"/>
    <w:rsid w:val="0078413A"/>
    <w:rsid w:val="00790631"/>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4CCD"/>
    <w:rsid w:val="007C5309"/>
    <w:rsid w:val="007C6069"/>
    <w:rsid w:val="007D06C4"/>
    <w:rsid w:val="007D1352"/>
    <w:rsid w:val="007D2508"/>
    <w:rsid w:val="007D346A"/>
    <w:rsid w:val="007D6518"/>
    <w:rsid w:val="007D76BD"/>
    <w:rsid w:val="007E0BF1"/>
    <w:rsid w:val="007E0D02"/>
    <w:rsid w:val="007E258B"/>
    <w:rsid w:val="007E2AB2"/>
    <w:rsid w:val="007F0ED8"/>
    <w:rsid w:val="007F0F63"/>
    <w:rsid w:val="007F3748"/>
    <w:rsid w:val="007F4E27"/>
    <w:rsid w:val="007F55EB"/>
    <w:rsid w:val="007F75CE"/>
    <w:rsid w:val="008013A4"/>
    <w:rsid w:val="008027CE"/>
    <w:rsid w:val="00802F42"/>
    <w:rsid w:val="00804383"/>
    <w:rsid w:val="00804BB7"/>
    <w:rsid w:val="00810257"/>
    <w:rsid w:val="008104F5"/>
    <w:rsid w:val="00811072"/>
    <w:rsid w:val="00811369"/>
    <w:rsid w:val="00815419"/>
    <w:rsid w:val="00815A01"/>
    <w:rsid w:val="008163C8"/>
    <w:rsid w:val="008164A1"/>
    <w:rsid w:val="00817325"/>
    <w:rsid w:val="008209E6"/>
    <w:rsid w:val="0082231D"/>
    <w:rsid w:val="00823303"/>
    <w:rsid w:val="008233B2"/>
    <w:rsid w:val="00823A9F"/>
    <w:rsid w:val="00823C85"/>
    <w:rsid w:val="00825138"/>
    <w:rsid w:val="008269DD"/>
    <w:rsid w:val="00827EB5"/>
    <w:rsid w:val="00830621"/>
    <w:rsid w:val="00831DED"/>
    <w:rsid w:val="0083348C"/>
    <w:rsid w:val="00837090"/>
    <w:rsid w:val="008373D3"/>
    <w:rsid w:val="00840617"/>
    <w:rsid w:val="00842A47"/>
    <w:rsid w:val="00843C13"/>
    <w:rsid w:val="008454F8"/>
    <w:rsid w:val="0085173A"/>
    <w:rsid w:val="00854343"/>
    <w:rsid w:val="008600DC"/>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97799"/>
    <w:rsid w:val="008A1893"/>
    <w:rsid w:val="008A264B"/>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974"/>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2A1"/>
    <w:rsid w:val="008F0CDC"/>
    <w:rsid w:val="008F17A3"/>
    <w:rsid w:val="008F1ED3"/>
    <w:rsid w:val="008F4C29"/>
    <w:rsid w:val="008F58DC"/>
    <w:rsid w:val="008F70BD"/>
    <w:rsid w:val="008F788F"/>
    <w:rsid w:val="008F7EA2"/>
    <w:rsid w:val="00902722"/>
    <w:rsid w:val="009027BC"/>
    <w:rsid w:val="00904A24"/>
    <w:rsid w:val="009062E6"/>
    <w:rsid w:val="00911AF6"/>
    <w:rsid w:val="00911BE5"/>
    <w:rsid w:val="00913A61"/>
    <w:rsid w:val="00913CA9"/>
    <w:rsid w:val="009145AE"/>
    <w:rsid w:val="009146CE"/>
    <w:rsid w:val="00914CA7"/>
    <w:rsid w:val="00915C3E"/>
    <w:rsid w:val="009161A8"/>
    <w:rsid w:val="009245F5"/>
    <w:rsid w:val="009249EC"/>
    <w:rsid w:val="009273B3"/>
    <w:rsid w:val="009305B5"/>
    <w:rsid w:val="00937F0A"/>
    <w:rsid w:val="00941FA3"/>
    <w:rsid w:val="009429D5"/>
    <w:rsid w:val="00942BF1"/>
    <w:rsid w:val="00945180"/>
    <w:rsid w:val="00945428"/>
    <w:rsid w:val="0094607B"/>
    <w:rsid w:val="00953604"/>
    <w:rsid w:val="0095496B"/>
    <w:rsid w:val="009565D7"/>
    <w:rsid w:val="009610DC"/>
    <w:rsid w:val="00961490"/>
    <w:rsid w:val="0096381A"/>
    <w:rsid w:val="009658B8"/>
    <w:rsid w:val="00965E04"/>
    <w:rsid w:val="009674AD"/>
    <w:rsid w:val="00970CDC"/>
    <w:rsid w:val="00977010"/>
    <w:rsid w:val="00977D02"/>
    <w:rsid w:val="009809BB"/>
    <w:rsid w:val="0098364B"/>
    <w:rsid w:val="00983F72"/>
    <w:rsid w:val="00986922"/>
    <w:rsid w:val="009911AF"/>
    <w:rsid w:val="00991875"/>
    <w:rsid w:val="00991F92"/>
    <w:rsid w:val="00992985"/>
    <w:rsid w:val="00993889"/>
    <w:rsid w:val="00994782"/>
    <w:rsid w:val="0099551B"/>
    <w:rsid w:val="00997BF1"/>
    <w:rsid w:val="009A089C"/>
    <w:rsid w:val="009A118E"/>
    <w:rsid w:val="009A21CD"/>
    <w:rsid w:val="009A278C"/>
    <w:rsid w:val="009A2BC2"/>
    <w:rsid w:val="009A3A90"/>
    <w:rsid w:val="009A42C1"/>
    <w:rsid w:val="009A5429"/>
    <w:rsid w:val="009A72AD"/>
    <w:rsid w:val="009B09E0"/>
    <w:rsid w:val="009B0BC5"/>
    <w:rsid w:val="009B1247"/>
    <w:rsid w:val="009B1E9E"/>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43B3"/>
    <w:rsid w:val="00A05AA6"/>
    <w:rsid w:val="00A06A6B"/>
    <w:rsid w:val="00A07E47"/>
    <w:rsid w:val="00A129D0"/>
    <w:rsid w:val="00A12C33"/>
    <w:rsid w:val="00A138BA"/>
    <w:rsid w:val="00A14C8E"/>
    <w:rsid w:val="00A153D9"/>
    <w:rsid w:val="00A15F09"/>
    <w:rsid w:val="00A163EF"/>
    <w:rsid w:val="00A169B6"/>
    <w:rsid w:val="00A2271D"/>
    <w:rsid w:val="00A237D5"/>
    <w:rsid w:val="00A23939"/>
    <w:rsid w:val="00A30EFC"/>
    <w:rsid w:val="00A31984"/>
    <w:rsid w:val="00A32D73"/>
    <w:rsid w:val="00A334A0"/>
    <w:rsid w:val="00A3367B"/>
    <w:rsid w:val="00A3597D"/>
    <w:rsid w:val="00A4006C"/>
    <w:rsid w:val="00A40091"/>
    <w:rsid w:val="00A4030F"/>
    <w:rsid w:val="00A41C79"/>
    <w:rsid w:val="00A41CB5"/>
    <w:rsid w:val="00A42CDF"/>
    <w:rsid w:val="00A4307B"/>
    <w:rsid w:val="00A4452E"/>
    <w:rsid w:val="00A4472C"/>
    <w:rsid w:val="00A44E69"/>
    <w:rsid w:val="00A4661E"/>
    <w:rsid w:val="00A55B46"/>
    <w:rsid w:val="00A55BD6"/>
    <w:rsid w:val="00A55D50"/>
    <w:rsid w:val="00A57142"/>
    <w:rsid w:val="00A61D48"/>
    <w:rsid w:val="00A633E6"/>
    <w:rsid w:val="00A648CD"/>
    <w:rsid w:val="00A6537A"/>
    <w:rsid w:val="00A67866"/>
    <w:rsid w:val="00A70B07"/>
    <w:rsid w:val="00A723F8"/>
    <w:rsid w:val="00A7656C"/>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079"/>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6CB"/>
    <w:rsid w:val="00B34DC2"/>
    <w:rsid w:val="00B368F2"/>
    <w:rsid w:val="00B378E5"/>
    <w:rsid w:val="00B4346D"/>
    <w:rsid w:val="00B440F4"/>
    <w:rsid w:val="00B44432"/>
    <w:rsid w:val="00B447A5"/>
    <w:rsid w:val="00B4654C"/>
    <w:rsid w:val="00B47293"/>
    <w:rsid w:val="00B47CC7"/>
    <w:rsid w:val="00B50E50"/>
    <w:rsid w:val="00B52120"/>
    <w:rsid w:val="00B54ABC"/>
    <w:rsid w:val="00B56FBE"/>
    <w:rsid w:val="00B6082A"/>
    <w:rsid w:val="00B62B58"/>
    <w:rsid w:val="00B64757"/>
    <w:rsid w:val="00B65149"/>
    <w:rsid w:val="00B66567"/>
    <w:rsid w:val="00B66F52"/>
    <w:rsid w:val="00B66FE5"/>
    <w:rsid w:val="00B72880"/>
    <w:rsid w:val="00B7340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4D35"/>
    <w:rsid w:val="00BD52D7"/>
    <w:rsid w:val="00BD5AD2"/>
    <w:rsid w:val="00BE22F3"/>
    <w:rsid w:val="00BE5B52"/>
    <w:rsid w:val="00BE7B8D"/>
    <w:rsid w:val="00BF0993"/>
    <w:rsid w:val="00BF10A9"/>
    <w:rsid w:val="00BF1703"/>
    <w:rsid w:val="00BF231C"/>
    <w:rsid w:val="00BF4E3C"/>
    <w:rsid w:val="00BF51E5"/>
    <w:rsid w:val="00BF74A6"/>
    <w:rsid w:val="00BF7718"/>
    <w:rsid w:val="00C013AD"/>
    <w:rsid w:val="00C020FB"/>
    <w:rsid w:val="00C04904"/>
    <w:rsid w:val="00C056B3"/>
    <w:rsid w:val="00C05CDE"/>
    <w:rsid w:val="00C103E5"/>
    <w:rsid w:val="00C13319"/>
    <w:rsid w:val="00C13EE9"/>
    <w:rsid w:val="00C21540"/>
    <w:rsid w:val="00C21906"/>
    <w:rsid w:val="00C21BFA"/>
    <w:rsid w:val="00C24C8D"/>
    <w:rsid w:val="00C25FE2"/>
    <w:rsid w:val="00C260F4"/>
    <w:rsid w:val="00C26B53"/>
    <w:rsid w:val="00C2742F"/>
    <w:rsid w:val="00C279B2"/>
    <w:rsid w:val="00C33130"/>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9A0"/>
    <w:rsid w:val="00C905FC"/>
    <w:rsid w:val="00C927D8"/>
    <w:rsid w:val="00C92D03"/>
    <w:rsid w:val="00C9319C"/>
    <w:rsid w:val="00C9435D"/>
    <w:rsid w:val="00C96741"/>
    <w:rsid w:val="00C96CED"/>
    <w:rsid w:val="00CA2D1B"/>
    <w:rsid w:val="00CA662A"/>
    <w:rsid w:val="00CA7AFD"/>
    <w:rsid w:val="00CA7C3C"/>
    <w:rsid w:val="00CA7D7B"/>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C76DD"/>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36B7A"/>
    <w:rsid w:val="00D4162B"/>
    <w:rsid w:val="00D4514F"/>
    <w:rsid w:val="00D451E2"/>
    <w:rsid w:val="00D45E89"/>
    <w:rsid w:val="00D45E8D"/>
    <w:rsid w:val="00D466AE"/>
    <w:rsid w:val="00D4734F"/>
    <w:rsid w:val="00D50732"/>
    <w:rsid w:val="00D51BF3"/>
    <w:rsid w:val="00D54369"/>
    <w:rsid w:val="00D54B98"/>
    <w:rsid w:val="00D5629E"/>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07D1"/>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8B4"/>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5DD"/>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188"/>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1AB"/>
    <w:rsid w:val="00F33817"/>
    <w:rsid w:val="00F3447F"/>
    <w:rsid w:val="00F420D5"/>
    <w:rsid w:val="00F44C8C"/>
    <w:rsid w:val="00F451EA"/>
    <w:rsid w:val="00F45447"/>
    <w:rsid w:val="00F456C6"/>
    <w:rsid w:val="00F4577B"/>
    <w:rsid w:val="00F46496"/>
    <w:rsid w:val="00F474D0"/>
    <w:rsid w:val="00F50179"/>
    <w:rsid w:val="00F56511"/>
    <w:rsid w:val="00F6194E"/>
    <w:rsid w:val="00F623AC"/>
    <w:rsid w:val="00F63615"/>
    <w:rsid w:val="00F6412A"/>
    <w:rsid w:val="00F65893"/>
    <w:rsid w:val="00F66A4A"/>
    <w:rsid w:val="00F71E22"/>
    <w:rsid w:val="00F72142"/>
    <w:rsid w:val="00F72AE7"/>
    <w:rsid w:val="00F73B87"/>
    <w:rsid w:val="00F77D98"/>
    <w:rsid w:val="00F833BA"/>
    <w:rsid w:val="00F84FD0"/>
    <w:rsid w:val="00F859A8"/>
    <w:rsid w:val="00F9108B"/>
    <w:rsid w:val="00F91349"/>
    <w:rsid w:val="00F93A8A"/>
    <w:rsid w:val="00F95248"/>
    <w:rsid w:val="00F956A9"/>
    <w:rsid w:val="00F963ED"/>
    <w:rsid w:val="00F966CF"/>
    <w:rsid w:val="00F96CAE"/>
    <w:rsid w:val="00F96EED"/>
    <w:rsid w:val="00F97C99"/>
    <w:rsid w:val="00FA27D6"/>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79A"/>
    <w:rsid w:val="00FD59EB"/>
    <w:rsid w:val="00FD7299"/>
    <w:rsid w:val="00FE1FBE"/>
    <w:rsid w:val="00FE3901"/>
    <w:rsid w:val="00FE39D3"/>
    <w:rsid w:val="00FE4BCE"/>
    <w:rsid w:val="00FE54AE"/>
    <w:rsid w:val="00FE576A"/>
    <w:rsid w:val="00FE7E79"/>
    <w:rsid w:val="00FF1F6E"/>
    <w:rsid w:val="00FF3E7D"/>
    <w:rsid w:val="00FF58AC"/>
    <w:rsid w:val="00FF5B99"/>
    <w:rsid w:val="00FF730C"/>
    <w:rsid w:val="00FF73F4"/>
    <w:rsid w:val="00FF7CE4"/>
    <w:rsid w:val="00FF7E39"/>
    <w:rsid w:val="012D7AAC"/>
    <w:rsid w:val="06A43F0A"/>
    <w:rsid w:val="07382BE1"/>
    <w:rsid w:val="078C75C1"/>
    <w:rsid w:val="095E6719"/>
    <w:rsid w:val="0DDE7EE3"/>
    <w:rsid w:val="104863BD"/>
    <w:rsid w:val="117874EE"/>
    <w:rsid w:val="13830FE4"/>
    <w:rsid w:val="14505EDC"/>
    <w:rsid w:val="162003B8"/>
    <w:rsid w:val="173B6FF4"/>
    <w:rsid w:val="18E617DB"/>
    <w:rsid w:val="19D63004"/>
    <w:rsid w:val="1A9A2F62"/>
    <w:rsid w:val="1AF23560"/>
    <w:rsid w:val="1B216905"/>
    <w:rsid w:val="1CF21731"/>
    <w:rsid w:val="21502829"/>
    <w:rsid w:val="22B97967"/>
    <w:rsid w:val="22C84D8B"/>
    <w:rsid w:val="26103D41"/>
    <w:rsid w:val="26BB54C6"/>
    <w:rsid w:val="30E038CF"/>
    <w:rsid w:val="32CA53DA"/>
    <w:rsid w:val="36BB3856"/>
    <w:rsid w:val="370437A4"/>
    <w:rsid w:val="3A29194C"/>
    <w:rsid w:val="3DE14F1D"/>
    <w:rsid w:val="40807BE7"/>
    <w:rsid w:val="40DA47B5"/>
    <w:rsid w:val="412E3412"/>
    <w:rsid w:val="41477669"/>
    <w:rsid w:val="422E46DC"/>
    <w:rsid w:val="428263BF"/>
    <w:rsid w:val="428C0FBC"/>
    <w:rsid w:val="42DD037E"/>
    <w:rsid w:val="44E7583F"/>
    <w:rsid w:val="46845629"/>
    <w:rsid w:val="48BF5E3F"/>
    <w:rsid w:val="4A220BC1"/>
    <w:rsid w:val="4BD3358B"/>
    <w:rsid w:val="4CFE5060"/>
    <w:rsid w:val="4DB35167"/>
    <w:rsid w:val="53000B16"/>
    <w:rsid w:val="554A3878"/>
    <w:rsid w:val="564D4072"/>
    <w:rsid w:val="56FD3A23"/>
    <w:rsid w:val="576E4096"/>
    <w:rsid w:val="59890863"/>
    <w:rsid w:val="5E914D18"/>
    <w:rsid w:val="65C47B38"/>
    <w:rsid w:val="67A06958"/>
    <w:rsid w:val="69B47B0D"/>
    <w:rsid w:val="6A154E6B"/>
    <w:rsid w:val="6B7B3B2E"/>
    <w:rsid w:val="74805F23"/>
    <w:rsid w:val="755D5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basedOn w:val="28"/>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autoRedefine/>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autoRedefine/>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autoRedefine/>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Subtle Reference"/>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styleId="230">
    <w:name w:val="List Paragraph"/>
    <w:basedOn w:val="1"/>
    <w:qFormat/>
    <w:uiPriority w:val="34"/>
    <w:pPr>
      <w:ind w:firstLine="420" w:firstLineChars="200"/>
    </w:pPr>
  </w:style>
  <w:style w:type="table" w:customStyle="1" w:styleId="231">
    <w:name w:val="Table Normal"/>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232">
    <w:name w:val="Table Text"/>
    <w:basedOn w:val="1"/>
    <w:semiHidden/>
    <w:qFormat/>
    <w:uiPriority w:val="0"/>
    <w:pPr>
      <w:widowControl/>
      <w:kinsoku w:val="0"/>
      <w:autoSpaceDE w:val="0"/>
      <w:autoSpaceDN w:val="0"/>
      <w:snapToGrid w:val="0"/>
      <w:spacing w:line="240" w:lineRule="auto"/>
      <w:jc w:val="left"/>
      <w:textAlignment w:val="baseline"/>
    </w:pPr>
    <w:rPr>
      <w:rFonts w:ascii="微软雅黑" w:hAnsi="微软雅黑" w:eastAsia="微软雅黑" w:cs="微软雅黑"/>
      <w:snapToGrid w:val="0"/>
      <w:color w:val="000000"/>
      <w:kern w:val="0"/>
      <w:sz w:val="16"/>
      <w:szCs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9C253C45C9948E5952B8DED06E32D16"/>
        <w:style w:val=""/>
        <w:category>
          <w:name w:val="常规"/>
          <w:gallery w:val="placeholder"/>
        </w:category>
        <w:types>
          <w:type w:val="bbPlcHdr"/>
        </w:types>
        <w:behaviors>
          <w:behavior w:val="content"/>
        </w:behaviors>
        <w:description w:val=""/>
        <w:guid w:val="{3123803B-E0D6-4CBE-81B6-8E2488DDAC5E}"/>
      </w:docPartPr>
      <w:docPartBody>
        <w:p w14:paraId="76823BFA">
          <w:pPr>
            <w:pStyle w:val="5"/>
          </w:pPr>
          <w:r>
            <w:rPr>
              <w:rStyle w:val="4"/>
              <w:rFonts w:hint="eastAsia"/>
            </w:rPr>
            <w:t>单击或点击此处输入文字。</w:t>
          </w:r>
        </w:p>
      </w:docPartBody>
    </w:docPart>
    <w:docPart>
      <w:docPartPr>
        <w:name w:val="DA45D338E18241C8864F7821A0F86FE4"/>
        <w:style w:val=""/>
        <w:category>
          <w:name w:val="常规"/>
          <w:gallery w:val="placeholder"/>
        </w:category>
        <w:types>
          <w:type w:val="bbPlcHdr"/>
        </w:types>
        <w:behaviors>
          <w:behavior w:val="content"/>
        </w:behaviors>
        <w:description w:val=""/>
        <w:guid w:val="{1DB596AE-8A62-4629-A91A-FDE82608EB0A}"/>
      </w:docPartPr>
      <w:docPartBody>
        <w:p w14:paraId="37FEE6E9">
          <w:pPr>
            <w:pStyle w:val="6"/>
          </w:pPr>
          <w:r>
            <w:rPr>
              <w:rStyle w:val="4"/>
              <w:rFonts w:hint="eastAsia"/>
            </w:rPr>
            <w:t>选择一项。</w:t>
          </w:r>
        </w:p>
      </w:docPartBody>
    </w:docPart>
    <w:docPart>
      <w:docPartPr>
        <w:name w:val="CB150515BE2F47EC97A7238147D0D1BA"/>
        <w:style w:val=""/>
        <w:category>
          <w:name w:val="常规"/>
          <w:gallery w:val="placeholder"/>
        </w:category>
        <w:types>
          <w:type w:val="bbPlcHdr"/>
        </w:types>
        <w:behaviors>
          <w:behavior w:val="content"/>
        </w:behaviors>
        <w:description w:val=""/>
        <w:guid w:val="{2DE57477-012E-42A7-9B65-0F074F7F4E64}"/>
      </w:docPartPr>
      <w:docPartBody>
        <w:p w14:paraId="7348F24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D1"/>
    <w:rsid w:val="006A4590"/>
    <w:rsid w:val="00D95510"/>
    <w:rsid w:val="00F5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9C253C45C9948E5952B8DED06E32D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A45D338E18241C8864F7821A0F86F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B150515BE2F47EC97A7238147D0D1BA"/>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F360BE8B-6686-4F3D-AEAF-501FE73E4058-1">
      <extobjdata type="F360BE8B-6686-4F3D-AEAF-501FE73E4058" data="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"/>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FE12C-16EA-4F8F-A8A1-ED38DA65EEBC}">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11</Pages>
  <Words>6677</Words>
  <Characters>7633</Characters>
  <Lines>1156</Lines>
  <Paragraphs>1129</Paragraphs>
  <TotalTime>25</TotalTime>
  <ScaleCrop>false</ScaleCrop>
  <LinksUpToDate>false</LinksUpToDate>
  <CharactersWithSpaces>7904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2024-09-18T05:34:00Z</dcterms:created>
  <dc:creator>Lancy Lan</dc:creator>
  <dc:description>&lt;config cover="true" show_menu="true" version="1.0.0" doctype="SDKXY"&gt;_x000d_
&lt;/config&gt;</dc:description>
  <cp:lastModifiedBy>　　</cp:lastModifiedBy>
  <cp:lastPrinted>2021-02-02T08:18:00Z</cp:lastPrinted>
  <dcterms:modified xsi:type="dcterms:W3CDTF">2025-05-22T01:17:21Z</dcterms:modified>
  <dc:title>行业标准</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eyJoZGlkIjoiN2U2NWUzMGM1NjY4M2M0ZTAxZTYyNGVkZDQ0NjRmM2UiLCJ1c2VySWQiOiIxNTIzODAxNDIyIn0=</vt:lpwstr>
  </property>
  <property fmtid="{D5CDD505-2E9C-101B-9397-08002B2CF9AE}" pid="15" name="KSOProductBuildVer">
    <vt:lpwstr>2052-12.1.0.21171</vt:lpwstr>
  </property>
  <property fmtid="{D5CDD505-2E9C-101B-9397-08002B2CF9AE}" pid="16" name="ICV">
    <vt:lpwstr>84CC65D79101413E95616F6D0D89D6D8_13</vt:lpwstr>
  </property>
</Properties>
</file>