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2"/>
        <w:framePr/>
      </w:pPr>
      <w:r>
        <w:rPr>
          <w:rFonts w:ascii="Times New Roman"/>
        </w:rPr>
        <w:t>ICS</w:t>
      </w:r>
      <w:r>
        <w:rPr>
          <w:rFonts w:hint="eastAsia" w:ascii="MS Mincho" w:hAnsi="MS Mincho" w:eastAsia="MS Mincho" w:cs="MS Mincho"/>
        </w:rPr>
        <w:t> </w:t>
      </w:r>
      <w:bookmarkStart w:id="0" w:name="ICS"/>
      <w: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0"/>
    </w:p>
    <w:p>
      <w:pPr>
        <w:pStyle w:val="122"/>
        <w:framePr/>
      </w:pPr>
      <w:bookmarkStart w:id="1" w:name="WXFLH"/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1"/>
    </w:p>
    <w:tbl>
      <w:tblPr>
        <w:tblStyle w:val="38"/>
        <w:tblW w:w="98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122"/>
              <w:framePr/>
            </w:pPr>
            <w:r>
              <w:pict>
                <v:rect id="BAH" o:spid="_x0000_s1039" o:spt="1" style="position:absolute;left:0pt;margin-left:-5.25pt;margin-top:0pt;height:15.6pt;width:68.25pt;z-index:-102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2"/>
          </w:p>
        </w:tc>
      </w:tr>
    </w:tbl>
    <w:p>
      <w:pPr>
        <w:pStyle w:val="108"/>
        <w:framePr/>
      </w:pPr>
      <w:r>
        <w:t>DB</w:t>
      </w:r>
      <w:bookmarkStart w:id="3" w:name="c3"/>
      <w:r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  <w:lang w:eastAsia="zh-CN"/>
        </w:rPr>
        <w:t>4</w:t>
      </w:r>
      <w:r>
        <w:rPr>
          <w:rFonts w:hint="eastAsia"/>
          <w:lang w:val="en-US" w:eastAsia="zh-CN"/>
        </w:rPr>
        <w:t>4</w:t>
      </w:r>
      <w:r>
        <w:fldChar w:fldCharType="end"/>
      </w:r>
      <w:bookmarkEnd w:id="3"/>
    </w:p>
    <w:p>
      <w:pPr>
        <w:pStyle w:val="109"/>
        <w:framePr/>
      </w:pPr>
      <w:bookmarkStart w:id="4" w:name="c4"/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广东省</w:t>
      </w:r>
      <w:r>
        <w:fldChar w:fldCharType="end"/>
      </w:r>
      <w:bookmarkEnd w:id="4"/>
      <w:r>
        <w:rPr>
          <w:rFonts w:hint="eastAsia"/>
        </w:rPr>
        <w:t>地方标准</w:t>
      </w:r>
    </w:p>
    <w:p>
      <w:pPr>
        <w:pStyle w:val="46"/>
        <w:framePr/>
        <w:rPr>
          <w:rFonts w:hAnsi="黑体"/>
        </w:rPr>
      </w:pPr>
      <w:r>
        <w:rPr>
          <w:rFonts w:ascii="Times New Roman"/>
        </w:rPr>
        <w:t xml:space="preserve">DB </w:t>
      </w:r>
      <w:bookmarkStart w:id="5" w:name="StdNo0"/>
      <w:r>
        <w:rPr>
          <w:rFonts w:hAnsi="黑体"/>
        </w:rPr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int="eastAsia" w:hAnsi="黑体"/>
          <w:lang w:eastAsia="zh-CN"/>
        </w:rPr>
        <w:t>4</w:t>
      </w:r>
      <w:r>
        <w:rPr>
          <w:rFonts w:hint="eastAsia" w:hAnsi="黑体"/>
          <w:lang w:val="en-US" w:eastAsia="zh-CN"/>
        </w:rPr>
        <w:t>4</w:t>
      </w:r>
      <w:r>
        <w:rPr>
          <w:rFonts w:hAnsi="黑体"/>
        </w:rPr>
        <w:fldChar w:fldCharType="end"/>
      </w:r>
      <w:bookmarkEnd w:id="5"/>
      <w:r>
        <w:rPr>
          <w:rFonts w:hAnsi="黑体"/>
        </w:rPr>
        <w:t xml:space="preserve">/ </w:t>
      </w:r>
      <w:bookmarkStart w:id="6" w:name="StdNo1"/>
      <w:r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XXXXX</w:t>
      </w:r>
      <w:r>
        <w:rPr>
          <w:rFonts w:hAnsi="黑体"/>
        </w:rPr>
        <w:fldChar w:fldCharType="end"/>
      </w:r>
      <w:bookmarkEnd w:id="6"/>
      <w:r>
        <w:rPr>
          <w:rFonts w:hAnsi="黑体"/>
        </w:rPr>
        <w:t>—</w:t>
      </w:r>
      <w:bookmarkStart w:id="7" w:name="StdNo2"/>
      <w:r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XXXX</w:t>
      </w:r>
      <w:r>
        <w:rPr>
          <w:rFonts w:hAnsi="黑体"/>
        </w:rPr>
        <w:fldChar w:fldCharType="end"/>
      </w:r>
      <w:bookmarkEnd w:id="7"/>
    </w:p>
    <w:tbl>
      <w:tblPr>
        <w:tblStyle w:val="38"/>
        <w:tblW w:w="93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75"/>
              <w:framePr/>
            </w:pPr>
            <w:bookmarkStart w:id="8" w:name="DT"/>
            <w:r>
              <w:pict>
                <v:rect id="DT" o:spid="_x0000_s1036" o:spt="1" style="position:absolute;left:0pt;margin-left:372.8pt;margin-top:2.7pt;height:18pt;width:90pt;z-index:-102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     </w:t>
            </w:r>
            <w:r>
              <w:fldChar w:fldCharType="end"/>
            </w:r>
            <w:bookmarkEnd w:id="8"/>
          </w:p>
        </w:tc>
      </w:tr>
    </w:tbl>
    <w:p>
      <w:pPr>
        <w:pStyle w:val="46"/>
        <w:framePr/>
        <w:rPr>
          <w:rFonts w:hAnsi="黑体"/>
        </w:rPr>
      </w:pPr>
    </w:p>
    <w:p>
      <w:pPr>
        <w:pStyle w:val="46"/>
        <w:framePr/>
        <w:rPr>
          <w:rFonts w:hAnsi="黑体"/>
        </w:rPr>
      </w:pPr>
    </w:p>
    <w:p>
      <w:pPr>
        <w:pStyle w:val="77"/>
        <w:framePr/>
      </w:pPr>
      <w:bookmarkStart w:id="9" w:name="StdName"/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肠内营养泵</w:t>
      </w:r>
      <w:r>
        <w:fldChar w:fldCharType="end"/>
      </w:r>
      <w:bookmarkEnd w:id="9"/>
    </w:p>
    <w:p>
      <w:pPr>
        <w:pStyle w:val="78"/>
        <w:framePr/>
      </w:pPr>
      <w:bookmarkStart w:id="10" w:name="StdEnglishName"/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>
        <w:instrText xml:space="preserve"> FORMTEXT </w:instrText>
      </w:r>
      <w:r>
        <w:fldChar w:fldCharType="separate"/>
      </w:r>
      <w:r>
        <w:t>Enteral nutrition pump</w:t>
      </w:r>
      <w:r>
        <w:fldChar w:fldCharType="end"/>
      </w:r>
      <w:bookmarkEnd w:id="10"/>
    </w:p>
    <w:p>
      <w:pPr>
        <w:pStyle w:val="79"/>
        <w:framePr/>
      </w:pPr>
      <w:bookmarkStart w:id="11" w:name="YZBS"/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>
        <w:instrText xml:space="preserve"> FORMTEXT </w:instrText>
      </w:r>
      <w:r>
        <w:fldChar w:fldCharType="separate"/>
      </w:r>
      <w:r>
        <w:t>     </w:t>
      </w:r>
      <w:r>
        <w:fldChar w:fldCharType="end"/>
      </w:r>
      <w:bookmarkEnd w:id="11"/>
    </w:p>
    <w:tbl>
      <w:tblPr>
        <w:tblStyle w:val="38"/>
        <w:tblW w:w="98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0"/>
              <w:framePr/>
            </w:pPr>
            <w:r>
              <w:pict>
                <v:rect id="RQ" o:spid="_x0000_s1038" o:spt="1" style="position:absolute;left:0pt;margin-left:173.3pt;margin-top:45.15pt;height:20pt;width:150pt;z-index:-102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w10:anchorlock/>
                </v:rect>
              </w:pict>
            </w:r>
            <w:r>
              <w:pict>
                <v:rect id="LB" o:spid="_x0000_s1037" o:spt="1" style="position:absolute;left:0pt;margin-left:193.3pt;margin-top:20.15pt;height:24pt;width:100pt;z-index:-1024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</v:rect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result w:val="2"/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2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pStyle w:val="81"/>
              <w:framePr/>
            </w:pPr>
            <w:bookmarkStart w:id="13" w:name="WCRQ"/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</w:rPr>
              <w:t>（本稿完成日期：）</w:t>
            </w:r>
            <w:r>
              <w:fldChar w:fldCharType="end"/>
            </w:r>
            <w:bookmarkEnd w:id="13"/>
          </w:p>
        </w:tc>
      </w:tr>
    </w:tbl>
    <w:p>
      <w:pPr>
        <w:pStyle w:val="129"/>
        <w:framePr/>
      </w:pPr>
      <w:bookmarkStart w:id="14" w:name="FY"/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rPr>
          <w:rFonts w:hint="eastAsia"/>
        </w:rPr>
        <w:t>发布</w:t>
      </w:r>
      <w:r>
        <w:pict>
          <v:line id="_x0000_s1034" o:spid="_x0000_s1034" o:spt="20" style="position:absolute;left:0pt;margin-left:-0.05pt;margin-top:728.5pt;height:0pt;width:481.9pt;mso-position-vertical-relative:page;z-index:1024;mso-width-relative:page;mso-height-relative:page;" coordsize="21600,21600">
            <v:path arrowok="t"/>
            <v:fill focussize="0,0"/>
            <v:stroke/>
            <v:imagedata o:title=""/>
            <o:lock v:ext="edit"/>
            <w10:anchorlock/>
          </v:line>
        </w:pict>
      </w:r>
    </w:p>
    <w:p>
      <w:pPr>
        <w:pStyle w:val="130"/>
        <w:framePr/>
      </w:pPr>
      <w:bookmarkStart w:id="16" w:name="SY"/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bookmarkStart w:id="40" w:name="_GoBack"/>
      <w:bookmarkEnd w:id="40"/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16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>
        <w:rPr>
          <w:rFonts w:hint="eastAsia"/>
        </w:rPr>
        <w:t>实施</w:t>
      </w:r>
    </w:p>
    <w:p>
      <w:pPr>
        <w:pStyle w:val="110"/>
        <w:framePr/>
      </w:pPr>
      <w:bookmarkStart w:id="19" w:name="fm"/>
      <w:r>
        <w:fldChar w:fldCharType="begin">
          <w:ffData>
            <w:name w:val="fm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Fonts w:hint="eastAsia"/>
        </w:rPr>
        <w:t>广东省质量技术监督局</w:t>
      </w:r>
      <w:r>
        <w:fldChar w:fldCharType="end"/>
      </w:r>
      <w:bookmarkEnd w:id="19"/>
      <w:r>
        <w:rPr>
          <w:rFonts w:hint="eastAsia" w:ascii="MS Mincho" w:hAnsi="MS Mincho" w:eastAsia="MS Mincho" w:cs="MS Mincho"/>
        </w:rPr>
        <w:t>   </w:t>
      </w:r>
      <w:r>
        <w:rPr>
          <w:rStyle w:val="72"/>
          <w:rFonts w:hint="eastAsia"/>
        </w:rPr>
        <w:t>发布</w:t>
      </w:r>
    </w:p>
    <w:p>
      <w:pPr>
        <w:pStyle w:val="24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567" w:right="850" w:bottom="1134" w:left="1418" w:header="0" w:footer="0" w:gutter="0"/>
          <w:pgNumType w:start="1"/>
          <w:cols w:space="425" w:num="1"/>
          <w:docGrid w:type="lines" w:linePitch="312" w:charSpace="0"/>
        </w:sectPr>
      </w:pPr>
      <w:r>
        <w:pict>
          <v:line id="_x0000_s1035" o:spid="_x0000_s1035" o:spt="20" style="position:absolute;left:0pt;margin-left:-0.05pt;margin-top:184.25pt;height:0pt;width:481.9pt;z-index:102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>
      <w:pPr>
        <w:pStyle w:val="49"/>
      </w:pPr>
      <w:bookmarkStart w:id="20" w:name="_Toc417980395"/>
      <w:bookmarkStart w:id="21" w:name="_Toc417980365"/>
      <w:bookmarkStart w:id="22" w:name="_Toc427679081"/>
      <w:bookmarkStart w:id="23" w:name="_Toc386828282"/>
      <w:bookmarkStart w:id="24" w:name="_Toc387059391"/>
      <w:bookmarkStart w:id="25" w:name="_Toc427679050"/>
      <w:r>
        <w:rPr>
          <w:rFonts w:hint="eastAsia"/>
        </w:rPr>
        <w:t>目</w:t>
      </w:r>
      <w:bookmarkStart w:id="26" w:name="BKML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次</w:t>
      </w:r>
      <w:bookmarkEnd w:id="26"/>
    </w:p>
    <w:p>
      <w:pPr>
        <w:pStyle w:val="20"/>
        <w:spacing w:before="78" w:after="78"/>
        <w:rPr>
          <w:rFonts w:ascii="Calibri" w:hAnsi="Calibri"/>
          <w:szCs w:val="22"/>
        </w:rPr>
      </w:pPr>
      <w:r>
        <w:fldChar w:fldCharType="begin" w:fldLock="1"/>
      </w:r>
      <w:r>
        <w:instrText xml:space="preserve"> </w:instrText>
      </w:r>
      <w:r>
        <w:rPr>
          <w:rFonts w:hint="eastAsia"/>
        </w:rPr>
        <w:instrText xml:space="preserve">TOC \h \z \t"前言、引言标题,1,参考文献、索引标题,1,章标题,1,参考文献,1,附录标识,1" \* MERGEFORMAT</w:instrText>
      </w:r>
      <w:r>
        <w:instrText xml:space="preserve"> </w:instrText>
      </w:r>
      <w:r>
        <w:fldChar w:fldCharType="separate"/>
      </w:r>
      <w:r>
        <w:fldChar w:fldCharType="begin"/>
      </w:r>
      <w:r>
        <w:instrText xml:space="preserve"> HYPERLINK \l "_Toc427826087" </w:instrText>
      </w:r>
      <w:r>
        <w:fldChar w:fldCharType="separate"/>
      </w:r>
      <w:r>
        <w:rPr>
          <w:rStyle w:val="36"/>
          <w:rFonts w:hint="eastAsia"/>
        </w:rPr>
        <w:t>前言</w:t>
      </w:r>
      <w:r>
        <w:tab/>
      </w:r>
      <w:r>
        <w:fldChar w:fldCharType="begin" w:fldLock="1"/>
      </w:r>
      <w:r>
        <w:instrText xml:space="preserve"> PAGEREF _Toc427826087 \h </w:instrText>
      </w:r>
      <w:r>
        <w:fldChar w:fldCharType="separate"/>
      </w:r>
      <w:r>
        <w:t>II</w:t>
      </w:r>
      <w:r>
        <w:fldChar w:fldCharType="end"/>
      </w:r>
      <w:r>
        <w:fldChar w:fldCharType="end"/>
      </w:r>
    </w:p>
    <w:p>
      <w:pPr>
        <w:pStyle w:val="20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"_Toc427826088" </w:instrText>
      </w:r>
      <w:r>
        <w:fldChar w:fldCharType="separate"/>
      </w:r>
      <w:r>
        <w:rPr>
          <w:rStyle w:val="36"/>
        </w:rPr>
        <w:t>1</w:t>
      </w:r>
      <w:r>
        <w:rPr>
          <w:rStyle w:val="36"/>
          <w:rFonts w:hint="eastAsia"/>
        </w:rPr>
        <w:t>　范围</w:t>
      </w:r>
      <w:r>
        <w:tab/>
      </w:r>
      <w:r>
        <w:fldChar w:fldCharType="begin" w:fldLock="1"/>
      </w:r>
      <w:r>
        <w:instrText xml:space="preserve"> PAGEREF _Toc427826088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0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"_Toc427826089" </w:instrText>
      </w:r>
      <w:r>
        <w:fldChar w:fldCharType="separate"/>
      </w:r>
      <w:r>
        <w:rPr>
          <w:rStyle w:val="36"/>
        </w:rPr>
        <w:t>2</w:t>
      </w:r>
      <w:r>
        <w:rPr>
          <w:rStyle w:val="36"/>
          <w:rFonts w:hint="eastAsia"/>
        </w:rPr>
        <w:t>　规范性引用文件</w:t>
      </w:r>
      <w:r>
        <w:tab/>
      </w:r>
      <w:r>
        <w:rPr>
          <w:rFonts w:hint="eastAsia"/>
        </w:rPr>
        <w:t>1</w:t>
      </w:r>
      <w:r>
        <w:rPr>
          <w:rFonts w:hint="eastAsia"/>
        </w:rPr>
        <w:fldChar w:fldCharType="end"/>
      </w:r>
    </w:p>
    <w:p>
      <w:pPr>
        <w:pStyle w:val="20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"_Toc427826091" </w:instrText>
      </w:r>
      <w:r>
        <w:fldChar w:fldCharType="separate"/>
      </w:r>
      <w:r>
        <w:rPr>
          <w:rStyle w:val="36"/>
          <w:rFonts w:hint="eastAsia"/>
        </w:rPr>
        <w:t>3　</w:t>
      </w:r>
      <w:r>
        <w:rPr>
          <w:rFonts w:hint="eastAsia" w:eastAsia="新宋体"/>
        </w:rPr>
        <w:t>要求</w:t>
      </w:r>
      <w:r>
        <w:tab/>
      </w:r>
      <w:r>
        <w:rPr>
          <w:rFonts w:hint="eastAsia"/>
        </w:rPr>
        <w:t>1</w:t>
      </w:r>
      <w:r>
        <w:rPr>
          <w:rFonts w:hint="eastAsia"/>
        </w:rPr>
        <w:fldChar w:fldCharType="end"/>
      </w:r>
    </w:p>
    <w:p>
      <w:pPr>
        <w:pStyle w:val="20"/>
        <w:spacing w:before="78" w:after="78"/>
        <w:rPr>
          <w:rFonts w:ascii="Calibri" w:hAnsi="Calibri"/>
          <w:szCs w:val="22"/>
        </w:rPr>
      </w:pPr>
      <w:r>
        <w:fldChar w:fldCharType="begin"/>
      </w:r>
      <w:r>
        <w:instrText xml:space="preserve"> HYPERLINK \l "_Toc427826092" </w:instrText>
      </w:r>
      <w:r>
        <w:fldChar w:fldCharType="separate"/>
      </w:r>
      <w:r>
        <w:rPr>
          <w:rStyle w:val="36"/>
          <w:rFonts w:hint="eastAsia"/>
        </w:rPr>
        <w:t>4　试验方法</w:t>
      </w:r>
      <w:r>
        <w:tab/>
      </w:r>
      <w:r>
        <w:rPr>
          <w:rFonts w:hint="eastAsia"/>
        </w:rPr>
        <w:t>3</w:t>
      </w:r>
      <w:r>
        <w:rPr>
          <w:rFonts w:hint="eastAsia"/>
        </w:rPr>
        <w:fldChar w:fldCharType="end"/>
      </w:r>
    </w:p>
    <w:p>
      <w:pPr>
        <w:pStyle w:val="24"/>
      </w:pPr>
      <w:r>
        <w:fldChar w:fldCharType="end"/>
      </w:r>
    </w:p>
    <w:p>
      <w:pPr>
        <w:pStyle w:val="111"/>
      </w:pPr>
      <w:bookmarkStart w:id="27" w:name="_Toc427826087"/>
      <w:r>
        <w:rPr>
          <w:rFonts w:hint="eastAsia"/>
        </w:rPr>
        <w:t>前</w:t>
      </w:r>
      <w:bookmarkStart w:id="28" w:name="BKQY"/>
      <w:r>
        <w:rPr>
          <w:rFonts w:hint="eastAsia" w:ascii="MS Mincho" w:hAnsi="MS Mincho" w:eastAsia="MS Mincho" w:cs="MS Mincho"/>
        </w:rPr>
        <w:t>  </w:t>
      </w:r>
      <w:r>
        <w:rPr>
          <w:rFonts w:hint="eastAsia"/>
        </w:rPr>
        <w:t>言</w:t>
      </w:r>
      <w:bookmarkEnd w:id="20"/>
      <w:bookmarkEnd w:id="21"/>
      <w:bookmarkEnd w:id="22"/>
      <w:bookmarkEnd w:id="23"/>
      <w:bookmarkEnd w:id="24"/>
      <w:bookmarkEnd w:id="25"/>
      <w:bookmarkEnd w:id="27"/>
      <w:bookmarkEnd w:id="28"/>
    </w:p>
    <w:p>
      <w:pPr>
        <w:pStyle w:val="24"/>
      </w:pPr>
    </w:p>
    <w:p>
      <w:pPr>
        <w:pStyle w:val="47"/>
        <w:numPr>
          <w:ilvl w:val="0"/>
          <w:numId w:val="0"/>
        </w:numPr>
        <w:ind w:left="425"/>
      </w:pPr>
      <w:r>
        <w:rPr>
          <w:rFonts w:hint="eastAsia"/>
        </w:rPr>
        <w:t>本标准按照</w:t>
      </w:r>
      <w:r>
        <w:t>GB/T 1.1-2009</w:t>
      </w:r>
      <w:r>
        <w:rPr>
          <w:rFonts w:hint="eastAsia"/>
        </w:rPr>
        <w:t>给出的规则起草。</w:t>
      </w:r>
    </w:p>
    <w:p>
      <w:pPr>
        <w:pStyle w:val="47"/>
        <w:numPr>
          <w:ilvl w:val="0"/>
          <w:numId w:val="0"/>
        </w:numPr>
        <w:ind w:left="425"/>
      </w:pPr>
      <w:r>
        <w:rPr>
          <w:rFonts w:hint="eastAsia"/>
        </w:rPr>
        <w:t>请注意本文件的某些内容可能涉及专利。本文件的发布机构不承担识别这些专利的责任。</w:t>
      </w:r>
    </w:p>
    <w:p>
      <w:pPr>
        <w:pStyle w:val="24"/>
      </w:pPr>
      <w:r>
        <w:rPr>
          <w:rFonts w:hint="eastAsia"/>
        </w:rPr>
        <w:t>本标准由广东省医疗仪器设备及器械标准化技术委员会（GD/TC16）</w:t>
      </w:r>
      <w:r>
        <w:rPr>
          <w:rFonts w:hint="eastAsia"/>
          <w:lang w:eastAsia="zh-CN"/>
        </w:rPr>
        <w:t>提出并</w:t>
      </w:r>
      <w:r>
        <w:rPr>
          <w:rFonts w:hint="eastAsia"/>
        </w:rPr>
        <w:t>归口。</w:t>
      </w:r>
    </w:p>
    <w:p>
      <w:pPr>
        <w:pStyle w:val="47"/>
        <w:numPr>
          <w:ilvl w:val="0"/>
          <w:numId w:val="0"/>
        </w:numPr>
        <w:ind w:left="425"/>
      </w:pPr>
      <w:r>
        <w:rPr>
          <w:rFonts w:hint="eastAsia"/>
        </w:rPr>
        <w:t>本标准起草单位：广东省医疗器械质量监督检验所、</w:t>
      </w:r>
      <w:r>
        <w:t>深圳市深科医疗器械技术开发有限公司</w:t>
      </w:r>
      <w:r>
        <w:rPr>
          <w:rFonts w:hint="eastAsia"/>
        </w:rPr>
        <w:t>。</w:t>
      </w:r>
    </w:p>
    <w:p>
      <w:pPr>
        <w:spacing w:line="360" w:lineRule="auto"/>
        <w:ind w:firstLine="462" w:firstLineChars="220"/>
        <w:rPr>
          <w:rFonts w:eastAsia="新宋体"/>
        </w:rPr>
      </w:pPr>
      <w:r>
        <w:rPr>
          <w:rFonts w:hint="eastAsia"/>
        </w:rPr>
        <w:t>本标准主要起草人：</w:t>
      </w:r>
      <w:r>
        <w:rPr>
          <w:rFonts w:hint="eastAsia" w:eastAsia="新宋体"/>
        </w:rPr>
        <w:t>许于春、陈卓强</w:t>
      </w:r>
      <w:r>
        <w:rPr>
          <w:rFonts w:hint="eastAsia" w:eastAsia="新宋体"/>
          <w:color w:val="0000FF"/>
        </w:rPr>
        <w:t>、</w:t>
      </w:r>
      <w:r>
        <w:rPr>
          <w:rFonts w:hint="eastAsia" w:eastAsia="新宋体"/>
        </w:rPr>
        <w:t>郭嘉杰、陈剑、王佩、张亮。</w:t>
      </w:r>
    </w:p>
    <w:p>
      <w:pPr>
        <w:pStyle w:val="47"/>
        <w:numPr>
          <w:ilvl w:val="0"/>
          <w:numId w:val="0"/>
        </w:numPr>
        <w:ind w:firstLine="420" w:firstLineChars="200"/>
      </w:pPr>
      <w:r>
        <w:rPr>
          <w:rFonts w:hint="eastAsia"/>
        </w:rPr>
        <w:t>本标准为首次发布。</w:t>
      </w:r>
    </w:p>
    <w:p>
      <w:pPr>
        <w:pStyle w:val="24"/>
        <w:sectPr>
          <w:headerReference r:id="rId9" w:type="default"/>
          <w:footerReference r:id="rId10" w:type="default"/>
          <w:pgSz w:w="11906" w:h="16838"/>
          <w:pgMar w:top="567" w:right="1134" w:bottom="1134" w:left="1418" w:header="1418" w:footer="1134" w:gutter="0"/>
          <w:pgNumType w:fmt="upperRoman" w:start="1"/>
          <w:cols w:space="425" w:num="1"/>
          <w:formProt w:val="0"/>
          <w:docGrid w:type="lines" w:linePitch="312" w:charSpace="0"/>
        </w:sectPr>
      </w:pPr>
    </w:p>
    <w:p>
      <w:pPr>
        <w:tabs>
          <w:tab w:val="center" w:pos="4153"/>
          <w:tab w:val="left" w:pos="5415"/>
        </w:tabs>
        <w:spacing w:line="360" w:lineRule="auto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肠内营养泵</w:t>
      </w:r>
    </w:p>
    <w:p>
      <w:pPr>
        <w:pStyle w:val="19"/>
        <w:spacing w:line="360" w:lineRule="auto"/>
        <w:rPr>
          <w:color w:val="000000"/>
        </w:rPr>
      </w:pPr>
    </w:p>
    <w:p>
      <w:pPr>
        <w:pStyle w:val="44"/>
        <w:numPr>
          <w:ilvl w:val="0"/>
          <w:numId w:val="11"/>
        </w:numPr>
        <w:tabs>
          <w:tab w:val="clear" w:pos="795"/>
        </w:tabs>
        <w:spacing w:before="312" w:after="312"/>
        <w:ind w:left="0" w:firstLine="0"/>
      </w:pPr>
      <w:bookmarkStart w:id="29" w:name="_Toc231708334"/>
      <w:bookmarkStart w:id="30" w:name="_Toc231708233"/>
      <w:r>
        <w:t>范围</w:t>
      </w:r>
      <w:bookmarkEnd w:id="29"/>
      <w:bookmarkEnd w:id="30"/>
    </w:p>
    <w:p>
      <w:pPr>
        <w:ind w:firstLine="420" w:firstLineChars="200"/>
        <w:jc w:val="left"/>
        <w:rPr>
          <w:color w:val="000000"/>
        </w:rPr>
      </w:pPr>
      <w:r>
        <w:rPr>
          <w:color w:val="000000"/>
        </w:rPr>
        <w:t>本标准</w:t>
      </w:r>
      <w:r>
        <w:rPr>
          <w:rFonts w:hint="eastAsia"/>
          <w:color w:val="000000"/>
        </w:rPr>
        <w:t>规定了预期用</w:t>
      </w:r>
      <w:r>
        <w:rPr>
          <w:color w:val="000000"/>
        </w:rPr>
        <w:t>于</w:t>
      </w:r>
      <w:bookmarkStart w:id="31" w:name="_Toc213838854"/>
      <w:r>
        <w:rPr>
          <w:color w:val="000000"/>
        </w:rPr>
        <w:t>对患者进行肠内、胃内输送营养液用</w:t>
      </w:r>
      <w:r>
        <w:rPr>
          <w:rFonts w:hint="eastAsia"/>
          <w:color w:val="000000"/>
        </w:rPr>
        <w:t>的</w:t>
      </w:r>
      <w:r>
        <w:rPr>
          <w:color w:val="000000"/>
        </w:rPr>
        <w:t>肠内营养泵</w:t>
      </w:r>
      <w:r>
        <w:rPr>
          <w:rFonts w:hint="eastAsia"/>
          <w:color w:val="000000"/>
        </w:rPr>
        <w:t>的要求和试验方法。</w:t>
      </w:r>
    </w:p>
    <w:p>
      <w:pPr>
        <w:ind w:firstLine="420" w:firstLineChars="200"/>
        <w:jc w:val="left"/>
        <w:rPr>
          <w:color w:val="000000"/>
          <w:sz w:val="20"/>
        </w:rPr>
      </w:pPr>
      <w:r>
        <w:rPr>
          <w:rFonts w:hint="eastAsia"/>
          <w:color w:val="000000"/>
        </w:rPr>
        <w:t>预期用于</w:t>
      </w:r>
      <w:r>
        <w:rPr>
          <w:color w:val="000000"/>
        </w:rPr>
        <w:t>静脉输液</w:t>
      </w:r>
      <w:r>
        <w:rPr>
          <w:rFonts w:hint="eastAsia"/>
          <w:color w:val="000000"/>
        </w:rPr>
        <w:t>的输液泵</w:t>
      </w:r>
      <w:r>
        <w:rPr>
          <w:color w:val="000000"/>
        </w:rPr>
        <w:t>不适用于</w:t>
      </w:r>
      <w:r>
        <w:rPr>
          <w:rFonts w:hint="eastAsia"/>
          <w:color w:val="000000"/>
        </w:rPr>
        <w:t>本标准</w:t>
      </w:r>
      <w:r>
        <w:rPr>
          <w:color w:val="000000"/>
        </w:rPr>
        <w:t>。</w:t>
      </w:r>
      <w:bookmarkEnd w:id="31"/>
    </w:p>
    <w:p>
      <w:pPr>
        <w:pStyle w:val="44"/>
        <w:numPr>
          <w:ilvl w:val="0"/>
          <w:numId w:val="11"/>
        </w:numPr>
        <w:tabs>
          <w:tab w:val="clear" w:pos="795"/>
        </w:tabs>
        <w:spacing w:before="312" w:after="312"/>
        <w:ind w:left="0" w:firstLine="0"/>
      </w:pPr>
      <w:bookmarkStart w:id="32" w:name="_Toc231708234"/>
      <w:bookmarkStart w:id="33" w:name="_Toc231708335"/>
      <w:r>
        <w:t>规范性引用文件</w:t>
      </w:r>
      <w:bookmarkEnd w:id="32"/>
      <w:bookmarkEnd w:id="33"/>
    </w:p>
    <w:p>
      <w:pPr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>
      <w:pPr>
        <w:spacing w:line="400" w:lineRule="exact"/>
        <w:ind w:left="360"/>
        <w:rPr>
          <w:color w:val="000000"/>
        </w:rPr>
      </w:pPr>
      <w:bookmarkStart w:id="34" w:name="_Toc231708336"/>
      <w:bookmarkStart w:id="35" w:name="_Toc231708235"/>
      <w:r>
        <w:rPr>
          <w:rFonts w:hint="eastAsia"/>
          <w:color w:val="000000"/>
        </w:rPr>
        <w:t>GB 9706.1-2007　医用电气设备　第1部分：安全通用要求</w:t>
      </w:r>
    </w:p>
    <w:p>
      <w:pPr>
        <w:spacing w:line="400" w:lineRule="exact"/>
        <w:ind w:left="360"/>
        <w:rPr>
          <w:color w:val="000000"/>
        </w:rPr>
      </w:pPr>
      <w:r>
        <w:rPr>
          <w:rFonts w:hint="eastAsia"/>
          <w:color w:val="000000"/>
        </w:rPr>
        <w:t>GB/T 14710-2009　医用电器环境要求及试验方法</w:t>
      </w:r>
    </w:p>
    <w:p>
      <w:pPr>
        <w:spacing w:line="400" w:lineRule="exact"/>
        <w:ind w:left="360"/>
        <w:rPr>
          <w:color w:val="000000"/>
        </w:rPr>
      </w:pPr>
      <w:r>
        <w:rPr>
          <w:rFonts w:hint="eastAsia"/>
          <w:color w:val="000000"/>
        </w:rPr>
        <w:t>YY 0505-2012 医用电气设备 第1-2部分 安全通用要求并列标准 电磁兼容 要求和试验</w:t>
      </w:r>
    </w:p>
    <w:p>
      <w:pPr>
        <w:spacing w:line="400" w:lineRule="exact"/>
        <w:ind w:left="360"/>
        <w:rPr>
          <w:color w:val="000000"/>
        </w:rPr>
      </w:pPr>
      <w:r>
        <w:rPr>
          <w:rFonts w:hint="eastAsia"/>
          <w:color w:val="000000"/>
        </w:rPr>
        <w:t>YY 0709-2009 医用电气设备 第1-8部分：安全通用要求 并列标准：通用要求，医用电气设备和医用电气系统中报警系统的测试和指南</w:t>
      </w:r>
    </w:p>
    <w:bookmarkEnd w:id="34"/>
    <w:bookmarkEnd w:id="35"/>
    <w:p>
      <w:pPr>
        <w:pStyle w:val="44"/>
        <w:numPr>
          <w:ilvl w:val="0"/>
          <w:numId w:val="11"/>
        </w:numPr>
        <w:tabs>
          <w:tab w:val="clear" w:pos="795"/>
        </w:tabs>
        <w:spacing w:before="312" w:after="312"/>
        <w:ind w:left="0" w:firstLine="0"/>
      </w:pPr>
      <w:bookmarkStart w:id="36" w:name="_Toc231708236"/>
      <w:bookmarkStart w:id="37" w:name="_Toc231708337"/>
      <w:r>
        <w:t>要求</w:t>
      </w:r>
      <w:bookmarkEnd w:id="36"/>
      <w:bookmarkEnd w:id="37"/>
    </w:p>
    <w:p>
      <w:pPr>
        <w:spacing w:before="120"/>
        <w:rPr>
          <w:rFonts w:ascii="宋体" w:hAnsi="宋体" w:eastAsia="黑体"/>
          <w:bCs/>
          <w:color w:val="000000"/>
        </w:rPr>
      </w:pPr>
      <w:r>
        <w:rPr>
          <w:rFonts w:hint="eastAsia" w:ascii="宋体" w:hAnsi="宋体" w:eastAsia="黑体"/>
          <w:bCs/>
          <w:color w:val="000000"/>
        </w:rPr>
        <w:t xml:space="preserve">3.1 </w:t>
      </w:r>
      <w:r>
        <w:rPr>
          <w:rFonts w:ascii="宋体" w:hAnsi="宋体" w:eastAsia="黑体"/>
          <w:bCs/>
          <w:color w:val="000000"/>
        </w:rPr>
        <w:t>外观与结构</w:t>
      </w:r>
    </w:p>
    <w:p>
      <w:pPr>
        <w:tabs>
          <w:tab w:val="left" w:pos="360"/>
        </w:tabs>
        <w:ind w:left="435" w:hanging="435"/>
        <w:rPr>
          <w:color w:val="000000"/>
        </w:rPr>
      </w:pPr>
      <w:r>
        <w:rPr>
          <w:rFonts w:hint="eastAsia"/>
          <w:color w:val="000000"/>
        </w:rPr>
        <w:t>3</w:t>
      </w:r>
      <w:r>
        <w:rPr>
          <w:color w:val="000000"/>
        </w:rPr>
        <w:t>.</w:t>
      </w:r>
      <w:r>
        <w:rPr>
          <w:rFonts w:hint="eastAsia"/>
          <w:color w:val="000000"/>
        </w:rPr>
        <w:t>1</w:t>
      </w:r>
      <w:r>
        <w:rPr>
          <w:color w:val="000000"/>
        </w:rPr>
        <w:t>.1　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MERGEFIELD 产品简称 </w:instrText>
      </w:r>
      <w:r>
        <w:rPr>
          <w:color w:val="000000"/>
        </w:rPr>
        <w:fldChar w:fldCharType="separate"/>
      </w:r>
      <w:r>
        <w:rPr>
          <w:color w:val="000000"/>
        </w:rPr>
        <w:t>肠内营养泵</w:t>
      </w:r>
      <w:r>
        <w:rPr>
          <w:color w:val="000000"/>
        </w:rPr>
        <w:fldChar w:fldCharType="end"/>
      </w:r>
      <w:r>
        <w:rPr>
          <w:color w:val="000000"/>
        </w:rPr>
        <w:t>面板上所有控制器件均应安装正确、牢固，其作用应符合面板上标示的功能。</w:t>
      </w:r>
    </w:p>
    <w:p>
      <w:pPr>
        <w:rPr>
          <w:color w:val="000000"/>
        </w:rPr>
      </w:pPr>
      <w:r>
        <w:rPr>
          <w:rFonts w:hint="eastAsia"/>
          <w:color w:val="000000"/>
        </w:rPr>
        <w:t>3</w:t>
      </w:r>
      <w:r>
        <w:rPr>
          <w:color w:val="000000"/>
        </w:rPr>
        <w:t>.</w:t>
      </w:r>
      <w:r>
        <w:rPr>
          <w:rFonts w:hint="eastAsia"/>
          <w:color w:val="000000"/>
        </w:rPr>
        <w:t>1</w:t>
      </w:r>
      <w:r>
        <w:rPr>
          <w:color w:val="000000"/>
        </w:rPr>
        <w:t>.2　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MERGEFIELD 产品简称 </w:instrText>
      </w:r>
      <w:r>
        <w:rPr>
          <w:color w:val="000000"/>
        </w:rPr>
        <w:fldChar w:fldCharType="separate"/>
      </w:r>
      <w:r>
        <w:rPr>
          <w:color w:val="000000"/>
        </w:rPr>
        <w:t>肠内营养泵</w:t>
      </w:r>
      <w:r>
        <w:rPr>
          <w:color w:val="000000"/>
        </w:rPr>
        <w:fldChar w:fldCharType="end"/>
      </w:r>
      <w:r>
        <w:rPr>
          <w:color w:val="000000"/>
        </w:rPr>
        <w:t>的外表面涂覆层、电镀层和注塑件应无划痕、裂纹，显示屏幕应无亮度不匀缺陷。</w:t>
      </w:r>
    </w:p>
    <w:p>
      <w:pPr>
        <w:spacing w:before="120"/>
        <w:rPr>
          <w:rFonts w:ascii="宋体" w:hAnsi="宋体" w:eastAsia="黑体"/>
          <w:bCs/>
          <w:color w:val="000000"/>
        </w:rPr>
      </w:pP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.</w:t>
      </w:r>
      <w:r>
        <w:rPr>
          <w:rFonts w:hint="eastAsia" w:ascii="宋体" w:hAnsi="宋体" w:eastAsia="黑体"/>
          <w:bCs/>
          <w:color w:val="000000"/>
        </w:rPr>
        <w:t>2</w:t>
      </w:r>
      <w:r>
        <w:rPr>
          <w:rFonts w:ascii="宋体" w:hAnsi="宋体" w:eastAsia="黑体"/>
          <w:bCs/>
          <w:color w:val="000000"/>
        </w:rPr>
        <w:t>　输液速度</w:t>
      </w:r>
    </w:p>
    <w:p>
      <w:pPr>
        <w:spacing w:before="120"/>
        <w:rPr>
          <w:rFonts w:ascii="宋体" w:hAnsi="宋体" w:eastAsia="黑体"/>
          <w:bCs/>
          <w:color w:val="000000"/>
        </w:rPr>
      </w:pP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.</w:t>
      </w:r>
      <w:r>
        <w:rPr>
          <w:rFonts w:hint="eastAsia" w:ascii="宋体" w:hAnsi="宋体" w:eastAsia="黑体"/>
          <w:bCs/>
          <w:color w:val="000000"/>
        </w:rPr>
        <w:t>2</w:t>
      </w:r>
      <w:r>
        <w:rPr>
          <w:rFonts w:ascii="宋体" w:hAnsi="宋体" w:eastAsia="黑体"/>
          <w:bCs/>
          <w:color w:val="000000"/>
        </w:rPr>
        <w:t>.1　输液速度设置范围</w:t>
      </w:r>
    </w:p>
    <w:p>
      <w:pPr>
        <w:ind w:firstLine="424" w:firstLineChars="202"/>
        <w:rPr>
          <w:color w:val="000000"/>
        </w:rPr>
      </w:pPr>
      <w:r>
        <w:rPr>
          <w:color w:val="000000"/>
        </w:rPr>
        <w:t>输液速度</w:t>
      </w:r>
      <w:r>
        <w:rPr>
          <w:rFonts w:hint="eastAsia"/>
          <w:color w:val="000000"/>
        </w:rPr>
        <w:t>设置</w:t>
      </w:r>
      <w:r>
        <w:rPr>
          <w:color w:val="000000"/>
        </w:rPr>
        <w:t>范围应</w:t>
      </w:r>
      <w:r>
        <w:rPr>
          <w:rFonts w:hint="eastAsia"/>
          <w:color w:val="000000"/>
        </w:rPr>
        <w:t>不小于</w:t>
      </w:r>
      <w:r>
        <w:rPr>
          <w:color w:val="000000"/>
        </w:rPr>
        <w:t>（1～400）ml/h</w:t>
      </w:r>
      <w:r>
        <w:rPr>
          <w:rFonts w:hint="eastAsia"/>
          <w:color w:val="000000"/>
        </w:rPr>
        <w:t>。</w:t>
      </w:r>
    </w:p>
    <w:p>
      <w:pPr>
        <w:spacing w:before="120"/>
        <w:rPr>
          <w:rFonts w:ascii="宋体" w:hAnsi="宋体" w:eastAsia="黑体"/>
          <w:bCs/>
          <w:color w:val="000000"/>
        </w:rPr>
      </w:pP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.</w:t>
      </w:r>
      <w:r>
        <w:rPr>
          <w:rFonts w:hint="eastAsia" w:ascii="宋体" w:hAnsi="宋体" w:eastAsia="黑体"/>
          <w:bCs/>
          <w:color w:val="000000"/>
        </w:rPr>
        <w:t>2</w:t>
      </w:r>
      <w:r>
        <w:rPr>
          <w:rFonts w:ascii="宋体" w:hAnsi="宋体" w:eastAsia="黑体"/>
          <w:bCs/>
          <w:color w:val="000000"/>
        </w:rPr>
        <w:t>.2　输液速度精度</w:t>
      </w:r>
    </w:p>
    <w:p>
      <w:pPr>
        <w:ind w:firstLine="420" w:firstLineChars="200"/>
        <w:rPr>
          <w:color w:val="000000"/>
        </w:rPr>
      </w:pPr>
      <w:r>
        <w:rPr>
          <w:color w:val="000000"/>
        </w:rPr>
        <w:t>输液速度在设定范围内，</w:t>
      </w:r>
      <w:r>
        <w:rPr>
          <w:rFonts w:hint="eastAsia"/>
          <w:color w:val="000000"/>
        </w:rPr>
        <w:t>误差</w:t>
      </w:r>
      <w:r>
        <w:rPr>
          <w:color w:val="000000"/>
        </w:rPr>
        <w:t>应</w:t>
      </w:r>
      <w:r>
        <w:rPr>
          <w:rFonts w:hint="eastAsia"/>
          <w:color w:val="000000"/>
        </w:rPr>
        <w:t>不大于</w:t>
      </w:r>
      <w:r>
        <w:rPr>
          <w:color w:val="000000"/>
        </w:rPr>
        <w:t>±10%</w:t>
      </w:r>
      <w:r>
        <w:rPr>
          <w:rFonts w:hint="eastAsia"/>
          <w:color w:val="000000"/>
        </w:rPr>
        <w:t>。</w:t>
      </w:r>
      <w:r>
        <w:rPr>
          <w:color w:val="000000"/>
        </w:rPr>
        <w:t xml:space="preserve"> </w:t>
      </w:r>
    </w:p>
    <w:p>
      <w:pPr>
        <w:spacing w:before="120"/>
        <w:rPr>
          <w:rFonts w:ascii="宋体" w:hAnsi="宋体" w:eastAsia="黑体"/>
          <w:bCs/>
          <w:color w:val="000000"/>
        </w:rPr>
      </w:pP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.</w:t>
      </w: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　肠内营养泵使用功能</w:t>
      </w:r>
    </w:p>
    <w:p>
      <w:pPr>
        <w:spacing w:before="120"/>
        <w:rPr>
          <w:rFonts w:ascii="宋体" w:hAnsi="宋体" w:eastAsia="黑体"/>
          <w:bCs/>
          <w:color w:val="000000"/>
        </w:rPr>
      </w:pP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.</w:t>
      </w: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.1　预置输液量范围</w:t>
      </w:r>
    </w:p>
    <w:p>
      <w:pPr>
        <w:ind w:left="735" w:leftChars="200" w:hanging="315" w:hangingChars="150"/>
        <w:rPr>
          <w:color w:val="000000"/>
        </w:rPr>
      </w:pPr>
      <w:r>
        <w:rPr>
          <w:rFonts w:hint="eastAsia"/>
          <w:color w:val="000000"/>
        </w:rPr>
        <w:t>预置</w:t>
      </w:r>
      <w:r>
        <w:rPr>
          <w:color w:val="000000"/>
        </w:rPr>
        <w:t>输液量</w:t>
      </w:r>
      <w:r>
        <w:rPr>
          <w:rFonts w:hint="eastAsia"/>
          <w:color w:val="000000"/>
        </w:rPr>
        <w:t>设置范围</w:t>
      </w:r>
      <w:r>
        <w:rPr>
          <w:color w:val="000000"/>
        </w:rPr>
        <w:t>应</w:t>
      </w:r>
      <w:r>
        <w:rPr>
          <w:rFonts w:hint="eastAsia"/>
          <w:color w:val="000000"/>
        </w:rPr>
        <w:t>不小于</w:t>
      </w:r>
      <w:r>
        <w:rPr>
          <w:color w:val="000000"/>
        </w:rPr>
        <w:t>（1～9999）ml</w:t>
      </w:r>
      <w:r>
        <w:rPr>
          <w:rFonts w:hint="eastAsia"/>
          <w:color w:val="000000"/>
        </w:rPr>
        <w:t>。</w:t>
      </w:r>
    </w:p>
    <w:p>
      <w:pPr>
        <w:spacing w:before="120"/>
        <w:rPr>
          <w:rFonts w:ascii="宋体" w:hAnsi="宋体" w:eastAsia="黑体"/>
          <w:bCs/>
          <w:color w:val="000000"/>
        </w:rPr>
      </w:pP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.</w:t>
      </w: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.2　输液状态显示</w:t>
      </w:r>
    </w:p>
    <w:p>
      <w:pPr>
        <w:ind w:firstLine="420" w:firstLineChars="200"/>
        <w:rPr>
          <w:color w:val="000000"/>
        </w:rPr>
      </w:pPr>
      <w:r>
        <w:rPr>
          <w:color w:val="000000"/>
        </w:rPr>
        <w:t>肠内营养泵在输液过程中应可显示累计总注入量，预置</w:t>
      </w:r>
      <w:r>
        <w:rPr>
          <w:rFonts w:hint="eastAsia"/>
          <w:color w:val="000000"/>
        </w:rPr>
        <w:t>输液</w:t>
      </w:r>
      <w:r>
        <w:rPr>
          <w:color w:val="000000"/>
        </w:rPr>
        <w:t>量和输液速度。</w:t>
      </w:r>
    </w:p>
    <w:p>
      <w:pPr>
        <w:spacing w:before="120"/>
        <w:rPr>
          <w:rFonts w:ascii="宋体" w:hAnsi="宋体" w:eastAsia="黑体"/>
          <w:bCs/>
          <w:color w:val="000000"/>
        </w:rPr>
      </w:pP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.</w:t>
      </w:r>
      <w:r>
        <w:rPr>
          <w:rFonts w:hint="eastAsia" w:ascii="宋体" w:hAnsi="宋体" w:eastAsia="黑体"/>
          <w:bCs/>
          <w:color w:val="000000"/>
        </w:rPr>
        <w:t>4</w:t>
      </w:r>
      <w:r>
        <w:rPr>
          <w:rFonts w:ascii="宋体" w:hAnsi="宋体" w:eastAsia="黑体"/>
          <w:bCs/>
          <w:color w:val="000000"/>
        </w:rPr>
        <w:t xml:space="preserve"> 报警</w:t>
      </w:r>
    </w:p>
    <w:p>
      <w:pPr>
        <w:spacing w:before="120"/>
        <w:rPr>
          <w:rFonts w:ascii="宋体" w:hAnsi="宋体" w:eastAsia="黑体"/>
          <w:bCs/>
          <w:color w:val="000000"/>
        </w:rPr>
      </w:pPr>
      <w:r>
        <w:rPr>
          <w:rFonts w:hint="eastAsia" w:ascii="宋体" w:hAnsi="宋体" w:eastAsia="黑体"/>
          <w:bCs/>
          <w:color w:val="000000"/>
        </w:rPr>
        <w:t>3.4.1 视觉和听觉报警</w:t>
      </w:r>
    </w:p>
    <w:p>
      <w:pPr>
        <w:rPr>
          <w:color w:val="000000"/>
        </w:rPr>
      </w:pPr>
      <w:r>
        <w:rPr>
          <w:rFonts w:hint="eastAsia"/>
          <w:color w:val="000000"/>
        </w:rPr>
        <w:t>a）肠内</w:t>
      </w:r>
      <w:r>
        <w:rPr>
          <w:color w:val="000000"/>
        </w:rPr>
        <w:t>营养</w:t>
      </w:r>
      <w:r>
        <w:rPr>
          <w:rFonts w:hint="eastAsia"/>
          <w:color w:val="000000"/>
        </w:rPr>
        <w:t>泵的视觉和听觉报警应符合YY0709-2009的要求。</w:t>
      </w:r>
    </w:p>
    <w:p>
      <w:pPr>
        <w:rPr>
          <w:color w:val="000000"/>
        </w:rPr>
      </w:pPr>
      <w:r>
        <w:rPr>
          <w:rFonts w:hint="eastAsia"/>
          <w:color w:val="000000"/>
        </w:rPr>
        <w:t>b）肠内</w:t>
      </w:r>
      <w:r>
        <w:rPr>
          <w:color w:val="000000"/>
        </w:rPr>
        <w:t>营养</w:t>
      </w:r>
      <w:r>
        <w:rPr>
          <w:rFonts w:hint="eastAsia"/>
          <w:color w:val="000000"/>
        </w:rPr>
        <w:t>泵应能产生不小于65dB（A）的听觉报警。若报警音量可调，其最小声压级应不小于45dB（A）。</w:t>
      </w:r>
    </w:p>
    <w:p>
      <w:pPr>
        <w:spacing w:before="120"/>
        <w:rPr>
          <w:rFonts w:ascii="宋体" w:hAnsi="宋体" w:eastAsia="黑体"/>
          <w:bCs/>
          <w:color w:val="000000"/>
        </w:rPr>
      </w:pPr>
      <w:r>
        <w:rPr>
          <w:rFonts w:hint="eastAsia" w:ascii="宋体" w:hAnsi="宋体" w:eastAsia="黑体"/>
          <w:bCs/>
          <w:color w:val="000000"/>
        </w:rPr>
        <w:t>3</w:t>
      </w:r>
      <w:r>
        <w:rPr>
          <w:rFonts w:ascii="宋体" w:hAnsi="宋体" w:eastAsia="黑体"/>
          <w:bCs/>
          <w:color w:val="000000"/>
        </w:rPr>
        <w:t>.</w:t>
      </w:r>
      <w:r>
        <w:rPr>
          <w:rFonts w:hint="eastAsia" w:ascii="宋体" w:hAnsi="宋体" w:eastAsia="黑体"/>
          <w:bCs/>
          <w:color w:val="000000"/>
        </w:rPr>
        <w:t>4</w:t>
      </w:r>
      <w:r>
        <w:rPr>
          <w:rFonts w:ascii="宋体" w:hAnsi="宋体" w:eastAsia="黑体"/>
          <w:bCs/>
          <w:color w:val="000000"/>
        </w:rPr>
        <w:t>.</w:t>
      </w:r>
      <w:r>
        <w:rPr>
          <w:rFonts w:hint="eastAsia" w:ascii="宋体" w:hAnsi="宋体" w:eastAsia="黑体"/>
          <w:bCs/>
          <w:color w:val="000000"/>
        </w:rPr>
        <w:t>2</w:t>
      </w:r>
      <w:r>
        <w:rPr>
          <w:rFonts w:ascii="宋体" w:hAnsi="宋体" w:eastAsia="黑体"/>
          <w:bCs/>
          <w:color w:val="000000"/>
        </w:rPr>
        <w:t>　排空报警</w:t>
      </w:r>
    </w:p>
    <w:p>
      <w:pPr>
        <w:rPr>
          <w:color w:val="000000"/>
        </w:rPr>
      </w:pPr>
      <w:r>
        <w:rPr>
          <w:color w:val="000000"/>
        </w:rPr>
        <w:t xml:space="preserve">    当营养管内营养液已排空时，肠内营养泵应能</w:t>
      </w:r>
      <w:r>
        <w:rPr>
          <w:rFonts w:hint="eastAsia"/>
          <w:color w:val="000000"/>
        </w:rPr>
        <w:t>产生视觉和听觉报警</w:t>
      </w:r>
      <w:r>
        <w:rPr>
          <w:color w:val="000000"/>
        </w:rPr>
        <w:t>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3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3</w:t>
      </w:r>
      <w:r>
        <w:rPr>
          <w:rFonts w:ascii="黑体" w:hAnsi="宋体" w:eastAsia="黑体"/>
          <w:bCs/>
          <w:color w:val="000000"/>
        </w:rPr>
        <w:t>　结束报警</w:t>
      </w:r>
    </w:p>
    <w:p>
      <w:pPr>
        <w:rPr>
          <w:color w:val="000000"/>
        </w:rPr>
      </w:pPr>
      <w:r>
        <w:rPr>
          <w:color w:val="000000"/>
        </w:rPr>
        <w:t xml:space="preserve">    </w:t>
      </w:r>
      <w:r>
        <w:rPr>
          <w:rFonts w:hint="eastAsia"/>
          <w:color w:val="000000"/>
        </w:rPr>
        <w:t>当</w:t>
      </w:r>
      <w:r>
        <w:rPr>
          <w:color w:val="000000"/>
        </w:rPr>
        <w:t>输液量达到预先设置量时</w:t>
      </w:r>
      <w:r>
        <w:rPr>
          <w:rFonts w:hint="eastAsia"/>
          <w:color w:val="000000"/>
        </w:rPr>
        <w:t>，</w:t>
      </w:r>
      <w:r>
        <w:rPr>
          <w:color w:val="000000"/>
        </w:rPr>
        <w:t>肠内营养泵应能</w:t>
      </w:r>
      <w:r>
        <w:rPr>
          <w:rFonts w:hint="eastAsia"/>
          <w:color w:val="000000"/>
        </w:rPr>
        <w:t>产生视觉和听觉报警</w:t>
      </w:r>
      <w:r>
        <w:rPr>
          <w:color w:val="000000"/>
        </w:rPr>
        <w:t>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3.4.4 阻塞报警</w:t>
      </w:r>
    </w:p>
    <w:p>
      <w:pPr>
        <w:rPr>
          <w:color w:val="000000"/>
        </w:rPr>
      </w:pPr>
      <w:r>
        <w:rPr>
          <w:rFonts w:hint="eastAsia"/>
          <w:color w:val="000000"/>
        </w:rPr>
        <w:t xml:space="preserve">    当营养管产生阻塞时，肠内营养泵应能产生视觉和听觉报警</w:t>
      </w:r>
      <w:r>
        <w:rPr>
          <w:color w:val="000000"/>
        </w:rPr>
        <w:t>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3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4.5</w:t>
      </w:r>
      <w:r>
        <w:rPr>
          <w:rFonts w:ascii="黑体" w:hAnsi="宋体" w:eastAsia="黑体"/>
          <w:bCs/>
          <w:color w:val="000000"/>
        </w:rPr>
        <w:t>　低电压</w:t>
      </w:r>
      <w:r>
        <w:rPr>
          <w:rFonts w:hint="eastAsia" w:ascii="黑体" w:hAnsi="宋体" w:eastAsia="黑体"/>
          <w:bCs/>
          <w:color w:val="000000"/>
        </w:rPr>
        <w:t>报警</w:t>
      </w:r>
    </w:p>
    <w:p>
      <w:pPr>
        <w:rPr>
          <w:color w:val="000000"/>
        </w:rPr>
      </w:pPr>
      <w:r>
        <w:rPr>
          <w:color w:val="000000"/>
        </w:rPr>
        <w:t xml:space="preserve">    肠内营养泵使用内部电源供电</w:t>
      </w:r>
      <w:r>
        <w:rPr>
          <w:rFonts w:hint="eastAsia"/>
          <w:color w:val="000000"/>
        </w:rPr>
        <w:t>并</w:t>
      </w:r>
      <w:r>
        <w:rPr>
          <w:color w:val="000000"/>
        </w:rPr>
        <w:t>出现电量不足时</w:t>
      </w:r>
      <w:r>
        <w:rPr>
          <w:rFonts w:hint="eastAsia"/>
          <w:color w:val="000000"/>
        </w:rPr>
        <w:t>，</w:t>
      </w:r>
      <w:r>
        <w:rPr>
          <w:color w:val="000000"/>
        </w:rPr>
        <w:t>肠内营养泵应能</w:t>
      </w:r>
      <w:r>
        <w:rPr>
          <w:rFonts w:hint="eastAsia"/>
          <w:color w:val="000000"/>
        </w:rPr>
        <w:t>产生视觉和听觉报警</w:t>
      </w:r>
      <w:r>
        <w:rPr>
          <w:color w:val="000000"/>
        </w:rPr>
        <w:t>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3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5</w:t>
      </w:r>
      <w:r>
        <w:rPr>
          <w:rFonts w:ascii="黑体" w:hAnsi="宋体" w:eastAsia="黑体"/>
          <w:bCs/>
          <w:color w:val="000000"/>
        </w:rPr>
        <w:t>　内部电源供电</w:t>
      </w:r>
      <w:r>
        <w:rPr>
          <w:rFonts w:hint="eastAsia" w:ascii="黑体" w:hAnsi="宋体" w:eastAsia="黑体"/>
          <w:bCs/>
          <w:color w:val="000000"/>
        </w:rPr>
        <w:t>运行时间</w:t>
      </w:r>
    </w:p>
    <w:p>
      <w:pPr>
        <w:ind w:firstLine="420"/>
        <w:rPr>
          <w:color w:val="000000"/>
        </w:rPr>
      </w:pPr>
      <w:r>
        <w:rPr>
          <w:color w:val="000000"/>
        </w:rPr>
        <w:t>肠内营养泵使用内部电源供电情况下，以25ml/h的速度连续正常工作时间应</w:t>
      </w:r>
      <w:r>
        <w:rPr>
          <w:rFonts w:hint="eastAsia"/>
          <w:color w:val="000000"/>
        </w:rPr>
        <w:t>不小</w:t>
      </w:r>
      <w:r>
        <w:rPr>
          <w:color w:val="000000"/>
        </w:rPr>
        <w:t>于</w:t>
      </w:r>
      <w:r>
        <w:rPr>
          <w:rFonts w:hint="eastAsia"/>
          <w:color w:val="000000"/>
        </w:rPr>
        <w:t>3</w:t>
      </w:r>
      <w:r>
        <w:rPr>
          <w:color w:val="000000"/>
        </w:rPr>
        <w:t>h。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3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6</w:t>
      </w:r>
      <w:r>
        <w:rPr>
          <w:rFonts w:ascii="黑体" w:hAnsi="宋体" w:eastAsia="黑体"/>
          <w:bCs/>
          <w:color w:val="000000"/>
        </w:rPr>
        <w:t>　环境试验要求</w:t>
      </w:r>
    </w:p>
    <w:p>
      <w:pPr>
        <w:ind w:firstLine="2"/>
        <w:rPr>
          <w:color w:val="000000"/>
        </w:rPr>
      </w:pPr>
      <w:r>
        <w:rPr>
          <w:color w:val="000000"/>
        </w:rPr>
        <w:t xml:space="preserve">    环境试验应符合GB/T14710-</w:t>
      </w:r>
      <w:r>
        <w:rPr>
          <w:rFonts w:hint="eastAsia"/>
          <w:color w:val="000000"/>
        </w:rPr>
        <w:t>2009</w:t>
      </w:r>
      <w:r>
        <w:rPr>
          <w:color w:val="000000"/>
        </w:rPr>
        <w:t>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3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7</w:t>
      </w:r>
      <w:r>
        <w:rPr>
          <w:rFonts w:ascii="黑体" w:hAnsi="宋体" w:eastAsia="黑体"/>
          <w:bCs/>
          <w:color w:val="000000"/>
        </w:rPr>
        <w:t>　安全要求</w:t>
      </w:r>
    </w:p>
    <w:p>
      <w:pPr>
        <w:ind w:firstLine="420" w:firstLineChars="200"/>
        <w:rPr>
          <w:color w:val="000000"/>
          <w:szCs w:val="21"/>
        </w:rPr>
      </w:pPr>
      <w:r>
        <w:rPr>
          <w:color w:val="000000"/>
          <w:szCs w:val="21"/>
        </w:rPr>
        <w:t>应符合</w:t>
      </w:r>
      <w:r>
        <w:rPr>
          <w:rFonts w:hint="eastAsia"/>
          <w:color w:val="000000"/>
          <w:szCs w:val="21"/>
        </w:rPr>
        <w:t>GB 9706.1-2007</w:t>
      </w:r>
      <w:r>
        <w:rPr>
          <w:color w:val="000000"/>
          <w:szCs w:val="21"/>
        </w:rPr>
        <w:t>的要求</w:t>
      </w:r>
      <w:r>
        <w:rPr>
          <w:rFonts w:hint="eastAsia"/>
          <w:color w:val="000000"/>
          <w:szCs w:val="21"/>
        </w:rPr>
        <w:t>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3.8 电磁兼容性要求</w:t>
      </w:r>
    </w:p>
    <w:p>
      <w:pPr>
        <w:ind w:firstLine="420" w:firstLineChars="200"/>
        <w:rPr>
          <w:color w:val="000000"/>
        </w:rPr>
      </w:pPr>
      <w:r>
        <w:rPr>
          <w:color w:val="000000"/>
          <w:szCs w:val="21"/>
        </w:rPr>
        <w:t>应符合</w:t>
      </w:r>
      <w:r>
        <w:rPr>
          <w:rFonts w:hint="eastAsia"/>
          <w:color w:val="000000"/>
          <w:szCs w:val="21"/>
        </w:rPr>
        <w:t>YY0505-2012</w:t>
      </w:r>
      <w:r>
        <w:rPr>
          <w:color w:val="000000"/>
          <w:szCs w:val="21"/>
        </w:rPr>
        <w:t>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bookmarkStart w:id="38" w:name="_Toc231708237"/>
      <w:bookmarkStart w:id="39" w:name="_Toc231708338"/>
      <w:r>
        <w:rPr>
          <w:rFonts w:hint="eastAsia" w:ascii="黑体" w:hAnsi="宋体" w:eastAsia="黑体"/>
          <w:bCs/>
          <w:color w:val="000000"/>
        </w:rPr>
        <w:t xml:space="preserve">4   </w:t>
      </w:r>
      <w:r>
        <w:rPr>
          <w:rFonts w:ascii="黑体" w:hAnsi="宋体" w:eastAsia="黑体"/>
          <w:bCs/>
          <w:color w:val="000000"/>
        </w:rPr>
        <w:t>试验方法</w:t>
      </w:r>
      <w:bookmarkEnd w:id="38"/>
      <w:bookmarkEnd w:id="39"/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1</w:t>
      </w:r>
      <w:r>
        <w:rPr>
          <w:rFonts w:ascii="黑体" w:hAnsi="宋体" w:eastAsia="黑体"/>
          <w:bCs/>
          <w:color w:val="000000"/>
        </w:rPr>
        <w:t>外观与结构试验</w:t>
      </w:r>
    </w:p>
    <w:p>
      <w:pPr>
        <w:tabs>
          <w:tab w:val="left" w:pos="0"/>
        </w:tabs>
        <w:rPr>
          <w:color w:val="000000"/>
        </w:rPr>
      </w:pPr>
      <w:r>
        <w:rPr>
          <w:color w:val="000000"/>
        </w:rPr>
        <w:t xml:space="preserve">    目力观察和手感检查，应符合</w:t>
      </w:r>
      <w:r>
        <w:rPr>
          <w:rFonts w:hint="eastAsia"/>
          <w:color w:val="000000"/>
        </w:rPr>
        <w:t>3</w:t>
      </w:r>
      <w:r>
        <w:rPr>
          <w:color w:val="000000"/>
        </w:rPr>
        <w:t>.</w:t>
      </w:r>
      <w:r>
        <w:rPr>
          <w:rFonts w:hint="eastAsia"/>
          <w:color w:val="000000"/>
        </w:rPr>
        <w:t>1</w:t>
      </w:r>
      <w:r>
        <w:rPr>
          <w:color w:val="000000"/>
        </w:rPr>
        <w:t>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2</w:t>
      </w:r>
      <w:r>
        <w:rPr>
          <w:rFonts w:ascii="黑体" w:hAnsi="宋体" w:eastAsia="黑体"/>
          <w:bCs/>
          <w:color w:val="000000"/>
        </w:rPr>
        <w:t xml:space="preserve"> 输液速度设置范围及精度试验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2</w:t>
      </w:r>
      <w:r>
        <w:rPr>
          <w:rFonts w:ascii="黑体" w:hAnsi="宋体" w:eastAsia="黑体"/>
          <w:bCs/>
          <w:color w:val="000000"/>
        </w:rPr>
        <w:t>.1　输液速度设置范围试验</w:t>
      </w:r>
    </w:p>
    <w:p>
      <w:pPr>
        <w:tabs>
          <w:tab w:val="left" w:pos="0"/>
        </w:tabs>
        <w:ind w:firstLine="420"/>
        <w:rPr>
          <w:color w:val="000000"/>
        </w:rPr>
      </w:pPr>
      <w:r>
        <w:rPr>
          <w:color w:val="000000"/>
        </w:rPr>
        <w:t>按使用说明书</w:t>
      </w:r>
      <w:r>
        <w:rPr>
          <w:rFonts w:hint="eastAsia"/>
          <w:color w:val="000000"/>
        </w:rPr>
        <w:t>操作</w:t>
      </w:r>
      <w:r>
        <w:rPr>
          <w:color w:val="000000"/>
        </w:rPr>
        <w:t>设置输液速度，肠内营养泵的设置范围应符合</w:t>
      </w:r>
      <w:r>
        <w:rPr>
          <w:rFonts w:hint="eastAsia"/>
          <w:color w:val="000000"/>
        </w:rPr>
        <w:t>3</w:t>
      </w:r>
      <w:r>
        <w:rPr>
          <w:color w:val="000000"/>
        </w:rPr>
        <w:t>.3.1</w:t>
      </w:r>
      <w:r>
        <w:rPr>
          <w:rFonts w:hint="eastAsia"/>
          <w:color w:val="000000"/>
        </w:rPr>
        <w:t>的要求</w:t>
      </w:r>
      <w:r>
        <w:rPr>
          <w:color w:val="000000"/>
        </w:rPr>
        <w:t>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2</w:t>
      </w:r>
      <w:r>
        <w:rPr>
          <w:rFonts w:ascii="黑体" w:hAnsi="宋体" w:eastAsia="黑体"/>
          <w:bCs/>
          <w:color w:val="000000"/>
        </w:rPr>
        <w:t>.2　输液精度试验</w:t>
      </w:r>
    </w:p>
    <w:p>
      <w:pPr>
        <w:tabs>
          <w:tab w:val="left" w:pos="0"/>
        </w:tabs>
        <w:ind w:firstLine="435"/>
        <w:rPr>
          <w:color w:val="000000"/>
        </w:rPr>
      </w:pPr>
      <w:r>
        <w:rPr>
          <w:rFonts w:hint="eastAsia"/>
          <w:color w:val="000000"/>
        </w:rPr>
        <w:t>使用制造商推荐营养管和实验室三级水，在制造商规定输液范围内选取，最小，中间和最大值进行试验。</w:t>
      </w:r>
      <w:r>
        <w:rPr>
          <w:color w:val="000000"/>
        </w:rPr>
        <w:t>在输液开始时用秒表计时，</w:t>
      </w:r>
      <w:r>
        <w:rPr>
          <w:rFonts w:hint="eastAsia"/>
          <w:color w:val="000000"/>
        </w:rPr>
        <w:t>测量30min，用电子天平测量出</w:t>
      </w:r>
      <w:r>
        <w:rPr>
          <w:color w:val="000000"/>
        </w:rPr>
        <w:t>肠内营养泵输出液体</w:t>
      </w:r>
      <w:r>
        <w:rPr>
          <w:rFonts w:hint="eastAsia"/>
          <w:color w:val="000000"/>
        </w:rPr>
        <w:t>重量，根据20℃时，水的密度为0.998g/ml换算容量，</w:t>
      </w:r>
      <w:r>
        <w:rPr>
          <w:color w:val="000000"/>
        </w:rPr>
        <w:t>按公式（1）计算输液速度，结果均应符合</w:t>
      </w:r>
      <w:r>
        <w:rPr>
          <w:rFonts w:hint="eastAsia"/>
          <w:color w:val="000000"/>
        </w:rPr>
        <w:t>3</w:t>
      </w:r>
      <w:r>
        <w:rPr>
          <w:color w:val="000000"/>
        </w:rPr>
        <w:t>.3.2规定的要求。</w:t>
      </w:r>
    </w:p>
    <w:p>
      <w:pPr>
        <w:tabs>
          <w:tab w:val="left" w:pos="0"/>
        </w:tabs>
        <w:ind w:firstLine="1995"/>
        <w:rPr>
          <w:color w:val="000000"/>
        </w:rPr>
      </w:pPr>
      <w:r>
        <w:rPr>
          <w:color w:val="000000"/>
        </w:rPr>
        <w:t>输液速度= 输液液体容量/ 计时时间……………………………………（1）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3</w:t>
      </w:r>
      <w:r>
        <w:rPr>
          <w:rFonts w:ascii="黑体" w:hAnsi="宋体" w:eastAsia="黑体"/>
          <w:bCs/>
          <w:color w:val="000000"/>
        </w:rPr>
        <w:t>　肠内营养泵使用功能试验</w:t>
      </w:r>
    </w:p>
    <w:p>
      <w:pPr>
        <w:rPr>
          <w:color w:val="000000"/>
        </w:rPr>
      </w:pPr>
      <w:r>
        <w:rPr>
          <w:color w:val="000000"/>
        </w:rPr>
        <w:t xml:space="preserve">   实际操作</w:t>
      </w:r>
      <w:r>
        <w:rPr>
          <w:rFonts w:hint="eastAsia"/>
          <w:color w:val="000000"/>
        </w:rPr>
        <w:t>机器</w:t>
      </w:r>
      <w:r>
        <w:rPr>
          <w:color w:val="000000"/>
        </w:rPr>
        <w:t>，结果应符合</w:t>
      </w:r>
      <w:r>
        <w:rPr>
          <w:rFonts w:hint="eastAsia"/>
          <w:color w:val="000000"/>
        </w:rPr>
        <w:t>3</w:t>
      </w:r>
      <w:r>
        <w:rPr>
          <w:color w:val="000000"/>
        </w:rPr>
        <w:t>.</w:t>
      </w:r>
      <w:r>
        <w:rPr>
          <w:rFonts w:hint="eastAsia"/>
          <w:color w:val="000000"/>
        </w:rPr>
        <w:t>3</w:t>
      </w:r>
      <w:r>
        <w:rPr>
          <w:color w:val="000000"/>
        </w:rPr>
        <w:t>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 xml:space="preserve">  报警试验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.1</w:t>
      </w:r>
      <w:r>
        <w:rPr>
          <w:rFonts w:hint="eastAsia" w:ascii="黑体" w:hAnsi="宋体" w:eastAsia="黑体"/>
          <w:bCs/>
          <w:color w:val="000000"/>
        </w:rPr>
        <w:t>视觉和听觉报警</w:t>
      </w:r>
    </w:p>
    <w:p>
      <w:pPr>
        <w:rPr>
          <w:color w:val="000000"/>
        </w:rPr>
      </w:pPr>
      <w:r>
        <w:rPr>
          <w:rFonts w:hint="eastAsia" w:ascii="黑体" w:hAnsi="宋体" w:eastAsia="黑体"/>
          <w:bCs/>
          <w:color w:val="000000"/>
        </w:rPr>
        <w:t>a）按</w:t>
      </w:r>
      <w:r>
        <w:rPr>
          <w:rFonts w:hint="eastAsia"/>
          <w:color w:val="000000"/>
        </w:rPr>
        <w:t>YY0709-2009规定方法试验。</w:t>
      </w:r>
    </w:p>
    <w:p>
      <w:pPr>
        <w:rPr>
          <w:color w:val="000000"/>
        </w:rPr>
      </w:pPr>
      <w:r>
        <w:rPr>
          <w:rFonts w:hint="eastAsia"/>
          <w:color w:val="000000"/>
        </w:rPr>
        <w:t>b）使用声级计，分别测量</w:t>
      </w:r>
      <w:r>
        <w:rPr>
          <w:color w:val="000000"/>
        </w:rPr>
        <w:t>肠内营养泵前、后、左、右1m处声压值</w:t>
      </w:r>
      <w:r>
        <w:rPr>
          <w:rFonts w:hint="eastAsia"/>
          <w:color w:val="000000"/>
        </w:rPr>
        <w:t>，应符合3.4.1b）的要求。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4.4.2</w:t>
      </w:r>
      <w:r>
        <w:rPr>
          <w:rFonts w:ascii="黑体" w:hAnsi="宋体" w:eastAsia="黑体"/>
          <w:bCs/>
          <w:color w:val="000000"/>
        </w:rPr>
        <w:t>排空报警试验</w:t>
      </w:r>
    </w:p>
    <w:p>
      <w:pPr>
        <w:rPr>
          <w:color w:val="000000"/>
        </w:rPr>
      </w:pPr>
      <w:r>
        <w:rPr>
          <w:color w:val="000000"/>
        </w:rPr>
        <w:t xml:space="preserve">    将输液管内预置少量液体，当输液管已排空时应符合</w:t>
      </w:r>
      <w:r>
        <w:rPr>
          <w:rFonts w:hint="eastAsia"/>
          <w:color w:val="000000"/>
        </w:rPr>
        <w:t>3</w:t>
      </w:r>
      <w:r>
        <w:rPr>
          <w:color w:val="000000"/>
        </w:rPr>
        <w:t>.5.</w:t>
      </w:r>
      <w:r>
        <w:rPr>
          <w:rFonts w:hint="eastAsia"/>
          <w:color w:val="000000"/>
        </w:rPr>
        <w:t>2</w:t>
      </w:r>
      <w:r>
        <w:rPr>
          <w:color w:val="000000"/>
        </w:rPr>
        <w:t>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3</w:t>
      </w:r>
      <w:r>
        <w:rPr>
          <w:rFonts w:ascii="黑体" w:hAnsi="宋体" w:eastAsia="黑体"/>
          <w:bCs/>
          <w:color w:val="000000"/>
        </w:rPr>
        <w:t xml:space="preserve"> 结束报警试验</w:t>
      </w:r>
    </w:p>
    <w:p>
      <w:pPr>
        <w:rPr>
          <w:color w:val="000000"/>
        </w:rPr>
      </w:pPr>
      <w:r>
        <w:rPr>
          <w:color w:val="000000"/>
        </w:rPr>
        <w:t xml:space="preserve">   在肠内营养泵达到预先设置量时应符合</w:t>
      </w:r>
      <w:r>
        <w:rPr>
          <w:rFonts w:hint="eastAsia"/>
          <w:color w:val="000000"/>
        </w:rPr>
        <w:t>3</w:t>
      </w:r>
      <w:r>
        <w:rPr>
          <w:color w:val="000000"/>
        </w:rPr>
        <w:t>.</w:t>
      </w:r>
      <w:r>
        <w:rPr>
          <w:rFonts w:hint="eastAsia"/>
          <w:color w:val="000000"/>
        </w:rPr>
        <w:t>4</w:t>
      </w:r>
      <w:r>
        <w:rPr>
          <w:color w:val="000000"/>
        </w:rPr>
        <w:t>.</w:t>
      </w:r>
      <w:r>
        <w:rPr>
          <w:rFonts w:hint="eastAsia"/>
          <w:color w:val="000000"/>
        </w:rPr>
        <w:t>3</w:t>
      </w:r>
      <w:r>
        <w:rPr>
          <w:color w:val="000000"/>
        </w:rPr>
        <w:t>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4.4.4阻塞报警试验</w:t>
      </w:r>
    </w:p>
    <w:p>
      <w:pPr>
        <w:rPr>
          <w:color w:val="000000"/>
        </w:rPr>
      </w:pPr>
      <w:r>
        <w:rPr>
          <w:rFonts w:hint="eastAsia"/>
          <w:color w:val="000000"/>
        </w:rPr>
        <w:t xml:space="preserve">   阻塞营养管，结果应符合3.4.4的要求。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4.5</w:t>
      </w:r>
      <w:r>
        <w:rPr>
          <w:rFonts w:ascii="黑体" w:hAnsi="宋体" w:eastAsia="黑体"/>
          <w:bCs/>
          <w:color w:val="000000"/>
        </w:rPr>
        <w:t xml:space="preserve"> 低电压提示功能试验</w:t>
      </w:r>
    </w:p>
    <w:p>
      <w:pPr>
        <w:rPr>
          <w:color w:val="000000"/>
        </w:rPr>
      </w:pPr>
      <w:r>
        <w:rPr>
          <w:color w:val="000000"/>
        </w:rPr>
        <w:t xml:space="preserve">    当肠内营养泵出现低电压提示时应符合</w:t>
      </w:r>
      <w:r>
        <w:rPr>
          <w:rFonts w:hint="eastAsia"/>
          <w:color w:val="000000"/>
        </w:rPr>
        <w:t>3</w:t>
      </w:r>
      <w:r>
        <w:rPr>
          <w:color w:val="000000"/>
        </w:rPr>
        <w:t>.</w:t>
      </w:r>
      <w:r>
        <w:rPr>
          <w:rFonts w:hint="eastAsia"/>
          <w:color w:val="000000"/>
        </w:rPr>
        <w:t>4.5</w:t>
      </w:r>
      <w:r>
        <w:rPr>
          <w:color w:val="000000"/>
        </w:rPr>
        <w:t>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5</w:t>
      </w:r>
      <w:r>
        <w:rPr>
          <w:rFonts w:ascii="黑体" w:hAnsi="宋体" w:eastAsia="黑体"/>
          <w:bCs/>
          <w:color w:val="000000"/>
        </w:rPr>
        <w:t xml:space="preserve">  内部电源供电</w:t>
      </w:r>
      <w:r>
        <w:rPr>
          <w:rFonts w:hint="eastAsia" w:ascii="黑体" w:hAnsi="宋体" w:eastAsia="黑体"/>
          <w:bCs/>
          <w:color w:val="000000"/>
        </w:rPr>
        <w:t>运行</w:t>
      </w:r>
      <w:r>
        <w:rPr>
          <w:rFonts w:ascii="黑体" w:hAnsi="宋体" w:eastAsia="黑体"/>
          <w:bCs/>
          <w:color w:val="000000"/>
        </w:rPr>
        <w:t>试验</w:t>
      </w:r>
    </w:p>
    <w:p>
      <w:pPr>
        <w:rPr>
          <w:color w:val="000000"/>
        </w:rPr>
      </w:pPr>
      <w:r>
        <w:rPr>
          <w:color w:val="000000"/>
        </w:rPr>
        <w:t xml:space="preserve">    肠内营养泵充</w:t>
      </w:r>
      <w:r>
        <w:rPr>
          <w:rFonts w:hint="eastAsia"/>
          <w:color w:val="000000"/>
        </w:rPr>
        <w:t>满</w:t>
      </w:r>
      <w:r>
        <w:rPr>
          <w:color w:val="000000"/>
        </w:rPr>
        <w:t>电后，用内部电源供电连续工作，结果应符合</w:t>
      </w:r>
      <w:r>
        <w:rPr>
          <w:rFonts w:hint="eastAsia"/>
          <w:color w:val="000000"/>
        </w:rPr>
        <w:t>3</w:t>
      </w:r>
      <w:r>
        <w:rPr>
          <w:color w:val="000000"/>
        </w:rPr>
        <w:t>.</w:t>
      </w:r>
      <w:r>
        <w:rPr>
          <w:rFonts w:hint="eastAsia"/>
          <w:color w:val="000000"/>
        </w:rPr>
        <w:t>5</w:t>
      </w:r>
      <w:r>
        <w:rPr>
          <w:color w:val="000000"/>
        </w:rPr>
        <w:t>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6</w:t>
      </w:r>
      <w:r>
        <w:rPr>
          <w:rFonts w:ascii="黑体" w:hAnsi="宋体" w:eastAsia="黑体"/>
          <w:bCs/>
          <w:color w:val="000000"/>
        </w:rPr>
        <w:t xml:space="preserve">　环境试验                                               </w:t>
      </w:r>
    </w:p>
    <w:p>
      <w:pPr>
        <w:rPr>
          <w:color w:val="000000"/>
        </w:rPr>
      </w:pPr>
      <w:r>
        <w:rPr>
          <w:color w:val="000000"/>
        </w:rPr>
        <w:t xml:space="preserve">   按GB/T14710-</w:t>
      </w:r>
      <w:r>
        <w:rPr>
          <w:rFonts w:hint="eastAsia"/>
          <w:color w:val="000000"/>
        </w:rPr>
        <w:t>2009</w:t>
      </w:r>
      <w:r>
        <w:rPr>
          <w:color w:val="000000"/>
        </w:rPr>
        <w:t>中规定的方法进行试验</w:t>
      </w:r>
      <w:r>
        <w:rPr>
          <w:rFonts w:hint="eastAsia"/>
          <w:color w:val="000000"/>
        </w:rPr>
        <w:t>，结果应符合3.6的要求。</w:t>
      </w:r>
    </w:p>
    <w:p>
      <w:pPr>
        <w:spacing w:before="120"/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</w:t>
      </w:r>
      <w:r>
        <w:rPr>
          <w:rFonts w:ascii="黑体" w:hAnsi="宋体" w:eastAsia="黑体"/>
          <w:bCs/>
          <w:color w:val="000000"/>
        </w:rPr>
        <w:t>.</w:t>
      </w:r>
      <w:r>
        <w:rPr>
          <w:rFonts w:hint="eastAsia" w:ascii="黑体" w:hAnsi="宋体" w:eastAsia="黑体"/>
          <w:bCs/>
          <w:color w:val="000000"/>
        </w:rPr>
        <w:t>7</w:t>
      </w:r>
      <w:r>
        <w:rPr>
          <w:rFonts w:ascii="黑体" w:hAnsi="宋体" w:eastAsia="黑体"/>
          <w:bCs/>
          <w:color w:val="000000"/>
        </w:rPr>
        <w:t>　安全要求试验</w:t>
      </w:r>
    </w:p>
    <w:p>
      <w:pPr>
        <w:ind w:firstLine="435"/>
        <w:rPr>
          <w:color w:val="000000"/>
        </w:rPr>
      </w:pPr>
      <w:r>
        <w:rPr>
          <w:rFonts w:hint="eastAsia"/>
          <w:color w:val="000000"/>
        </w:rPr>
        <w:t>按GB 9706.1-2007规定方法试验。</w:t>
      </w:r>
    </w:p>
    <w:p>
      <w:pPr>
        <w:rPr>
          <w:rFonts w:ascii="黑体" w:hAnsi="宋体" w:eastAsia="黑体"/>
          <w:bCs/>
          <w:color w:val="000000"/>
        </w:rPr>
      </w:pPr>
      <w:r>
        <w:rPr>
          <w:rFonts w:hint="eastAsia" w:ascii="黑体" w:hAnsi="宋体" w:eastAsia="黑体"/>
          <w:bCs/>
          <w:color w:val="000000"/>
        </w:rPr>
        <w:t>4.8 电磁兼容性要求</w:t>
      </w:r>
    </w:p>
    <w:p>
      <w:pPr>
        <w:ind w:firstLine="435"/>
        <w:rPr>
          <w:color w:val="000000"/>
        </w:rPr>
      </w:pPr>
      <w:r>
        <w:rPr>
          <w:rFonts w:hint="eastAsia"/>
          <w:color w:val="000000"/>
        </w:rPr>
        <w:t>按YY0505-2012的规定方法试验。</w:t>
      </w:r>
    </w:p>
    <w:p>
      <w:pPr>
        <w:pStyle w:val="128"/>
        <w:framePr/>
      </w:pPr>
      <w:r>
        <w:t>_________________________________</w:t>
      </w:r>
    </w:p>
    <w:sectPr>
      <w:pgSz w:w="11906" w:h="16838"/>
      <w:pgMar w:top="567" w:right="1134" w:bottom="1134" w:left="1418" w:header="1418" w:footer="1134" w:gutter="0"/>
      <w:pgNumType w:start="1"/>
      <w:cols w:space="425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2"/>
    </w:pP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3"/>
    </w:pPr>
    <w:r>
      <w:t>DB/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83A"/>
    <w:multiLevelType w:val="multilevel"/>
    <w:tmpl w:val="1DBF583A"/>
    <w:lvl w:ilvl="0" w:tentative="0">
      <w:start w:val="1"/>
      <w:numFmt w:val="decimal"/>
      <w:pStyle w:val="64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4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4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50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54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5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2A8F7113"/>
    <w:multiLevelType w:val="multilevel"/>
    <w:tmpl w:val="2A8F7113"/>
    <w:lvl w:ilvl="0" w:tentative="0">
      <w:start w:val="1"/>
      <w:numFmt w:val="upperLetter"/>
      <w:pStyle w:val="97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98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3">
    <w:nsid w:val="2C5917C3"/>
    <w:multiLevelType w:val="multilevel"/>
    <w:tmpl w:val="2C5917C3"/>
    <w:lvl w:ilvl="0" w:tentative="0">
      <w:start w:val="1"/>
      <w:numFmt w:val="none"/>
      <w:pStyle w:val="47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48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59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4">
    <w:nsid w:val="2D4D2641"/>
    <w:multiLevelType w:val="multilevel"/>
    <w:tmpl w:val="2D4D2641"/>
    <w:lvl w:ilvl="0" w:tentative="0">
      <w:start w:val="1"/>
      <w:numFmt w:val="decimal"/>
      <w:lvlText w:val="%1"/>
      <w:lvlJc w:val="left"/>
      <w:pPr>
        <w:tabs>
          <w:tab w:val="left" w:pos="795"/>
        </w:tabs>
        <w:ind w:left="795" w:hanging="360"/>
      </w:pPr>
      <w:rPr>
        <w:rFonts w:hint="eastAsia"/>
      </w:rPr>
    </w:lvl>
    <w:lvl w:ilvl="1" w:tentative="0">
      <w:start w:val="0"/>
      <w:numFmt w:val="none"/>
      <w:lvlText w:val=""/>
      <w:lvlJc w:val="left"/>
      <w:pPr>
        <w:tabs>
          <w:tab w:val="left" w:pos="360"/>
        </w:tabs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</w:lvl>
    <w:lvl w:ilvl="4" w:tentative="0">
      <w:start w:val="0"/>
      <w:numFmt w:val="none"/>
      <w:lvlText w:val=""/>
      <w:lvlJc w:val="left"/>
      <w:pPr>
        <w:tabs>
          <w:tab w:val="left" w:pos="360"/>
        </w:tabs>
      </w:pPr>
    </w:lvl>
    <w:lvl w:ilvl="5" w:tentative="0">
      <w:start w:val="0"/>
      <w:numFmt w:val="none"/>
      <w:lvlText w:val=""/>
      <w:lvlJc w:val="left"/>
      <w:pPr>
        <w:tabs>
          <w:tab w:val="left" w:pos="360"/>
        </w:tabs>
      </w:pPr>
    </w:lvl>
    <w:lvl w:ilvl="6" w:tentative="0">
      <w:start w:val="0"/>
      <w:numFmt w:val="none"/>
      <w:lvlText w:val=""/>
      <w:lvlJc w:val="left"/>
      <w:pPr>
        <w:tabs>
          <w:tab w:val="left" w:pos="360"/>
        </w:tabs>
      </w:pPr>
    </w:lvl>
    <w:lvl w:ilvl="7" w:tentative="0">
      <w:start w:val="0"/>
      <w:numFmt w:val="none"/>
      <w:lvlText w:val=""/>
      <w:lvlJc w:val="left"/>
      <w:pPr>
        <w:tabs>
          <w:tab w:val="left" w:pos="360"/>
        </w:tabs>
      </w:pPr>
    </w:lvl>
    <w:lvl w:ilvl="8" w:tentative="0">
      <w:start w:val="0"/>
      <w:numFmt w:val="none"/>
      <w:lvlText w:val=""/>
      <w:lvlJc w:val="left"/>
      <w:pPr>
        <w:tabs>
          <w:tab w:val="left" w:pos="360"/>
        </w:tabs>
      </w:pPr>
    </w:lvl>
  </w:abstractNum>
  <w:abstractNum w:abstractNumId="5">
    <w:nsid w:val="3D733618"/>
    <w:multiLevelType w:val="multilevel"/>
    <w:tmpl w:val="3D733618"/>
    <w:lvl w:ilvl="0" w:tentative="0">
      <w:start w:val="1"/>
      <w:numFmt w:val="decimal"/>
      <w:pStyle w:val="25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6">
    <w:nsid w:val="44C50F90"/>
    <w:multiLevelType w:val="multilevel"/>
    <w:tmpl w:val="44C50F90"/>
    <w:lvl w:ilvl="0" w:tentative="0">
      <w:start w:val="1"/>
      <w:numFmt w:val="lowerLetter"/>
      <w:pStyle w:val="58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hAnsi="宋体" w:eastAsia="宋体"/>
        <w:b w:val="0"/>
        <w:i w:val="0"/>
        <w:sz w:val="20"/>
        <w:szCs w:val="21"/>
      </w:rPr>
    </w:lvl>
    <w:lvl w:ilvl="1" w:tentative="0">
      <w:start w:val="1"/>
      <w:numFmt w:val="decimal"/>
      <w:pStyle w:val="53"/>
      <w:lvlText w:val="%2)"/>
      <w:lvlJc w:val="left"/>
      <w:pPr>
        <w:tabs>
          <w:tab w:val="left" w:pos="1259"/>
        </w:tabs>
        <w:ind w:left="1259" w:hanging="420"/>
      </w:pPr>
      <w:rPr>
        <w:rFonts w:hint="eastAsia" w:ascii="宋体" w:hAnsi="宋体" w:eastAsia="宋体"/>
        <w:b w:val="0"/>
        <w:i w:val="0"/>
        <w:sz w:val="20"/>
      </w:rPr>
    </w:lvl>
    <w:lvl w:ilvl="2" w:tentative="0">
      <w:start w:val="1"/>
      <w:numFmt w:val="decimal"/>
      <w:pStyle w:val="60"/>
      <w:lvlText w:val="(%3)"/>
      <w:lvlJc w:val="left"/>
      <w:pPr>
        <w:tabs>
          <w:tab w:val="left" w:pos="0"/>
        </w:tabs>
        <w:ind w:left="1678" w:hanging="419"/>
      </w:pPr>
      <w:rPr>
        <w:rFonts w:hint="eastAsia" w:ascii="宋体" w:hAnsi="宋体" w:eastAsia="宋体"/>
        <w:b w:val="0"/>
        <w:i w:val="0"/>
        <w:sz w:val="20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  <w:rPr>
        <w:rFonts w:hint="eastAsia"/>
      </w:rPr>
    </w:lvl>
  </w:abstractNum>
  <w:abstractNum w:abstractNumId="7">
    <w:nsid w:val="60B55DC2"/>
    <w:multiLevelType w:val="multilevel"/>
    <w:tmpl w:val="60B55DC2"/>
    <w:lvl w:ilvl="0" w:tentative="0">
      <w:start w:val="1"/>
      <w:numFmt w:val="upperLetter"/>
      <w:pStyle w:val="8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8">
    <w:nsid w:val="657D3FBC"/>
    <w:multiLevelType w:val="multilevel"/>
    <w:tmpl w:val="657D3FBC"/>
    <w:lvl w:ilvl="0" w:tentative="0">
      <w:start w:val="1"/>
      <w:numFmt w:val="upperLetter"/>
      <w:pStyle w:val="83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01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02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87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9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5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9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9">
    <w:nsid w:val="6D6C07CD"/>
    <w:multiLevelType w:val="multilevel"/>
    <w:tmpl w:val="6D6C07CD"/>
    <w:lvl w:ilvl="0" w:tentative="0">
      <w:start w:val="1"/>
      <w:numFmt w:val="lowerLetter"/>
      <w:pStyle w:val="104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94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0">
    <w:nsid w:val="76933334"/>
    <w:multiLevelType w:val="multilevel"/>
    <w:tmpl w:val="76933334"/>
    <w:lvl w:ilvl="0" w:tentative="0">
      <w:start w:val="1"/>
      <w:numFmt w:val="none"/>
      <w:pStyle w:val="137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）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dit="forms" w:enforcement="1" w:cryptProviderType="rsaFull" w:cryptAlgorithmClass="hash" w:cryptAlgorithmType="typeAny" w:cryptAlgorithmSid="4" w:cryptSpinCount="50000" w:hash="nWRP2MxIkbQ5Z37D9bSEaZs93s4=" w:salt="w69Uvydbit1uW1FNCVu/n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925"/>
    <w:rsid w:val="00000244"/>
    <w:rsid w:val="00001807"/>
    <w:rsid w:val="0000185F"/>
    <w:rsid w:val="0000586F"/>
    <w:rsid w:val="00013D86"/>
    <w:rsid w:val="00013E02"/>
    <w:rsid w:val="0002143C"/>
    <w:rsid w:val="00025A65"/>
    <w:rsid w:val="00026A2D"/>
    <w:rsid w:val="00026C31"/>
    <w:rsid w:val="00027280"/>
    <w:rsid w:val="000320A7"/>
    <w:rsid w:val="00035925"/>
    <w:rsid w:val="00041916"/>
    <w:rsid w:val="000670B5"/>
    <w:rsid w:val="00067CDF"/>
    <w:rsid w:val="00074FBE"/>
    <w:rsid w:val="00075438"/>
    <w:rsid w:val="00081A37"/>
    <w:rsid w:val="00083A09"/>
    <w:rsid w:val="0009005E"/>
    <w:rsid w:val="00092857"/>
    <w:rsid w:val="000A20A9"/>
    <w:rsid w:val="000A48B1"/>
    <w:rsid w:val="000B3143"/>
    <w:rsid w:val="000C492F"/>
    <w:rsid w:val="000C6B05"/>
    <w:rsid w:val="000C6DD6"/>
    <w:rsid w:val="000C73D4"/>
    <w:rsid w:val="000D07C1"/>
    <w:rsid w:val="000D3D4C"/>
    <w:rsid w:val="000D4F51"/>
    <w:rsid w:val="000D718B"/>
    <w:rsid w:val="000E0C46"/>
    <w:rsid w:val="000E3C19"/>
    <w:rsid w:val="000F030C"/>
    <w:rsid w:val="000F129C"/>
    <w:rsid w:val="001056DE"/>
    <w:rsid w:val="001124C0"/>
    <w:rsid w:val="00121913"/>
    <w:rsid w:val="0013175F"/>
    <w:rsid w:val="001512B4"/>
    <w:rsid w:val="001620A5"/>
    <w:rsid w:val="00164E53"/>
    <w:rsid w:val="00165997"/>
    <w:rsid w:val="0016699D"/>
    <w:rsid w:val="00174BCC"/>
    <w:rsid w:val="00175159"/>
    <w:rsid w:val="00176208"/>
    <w:rsid w:val="00180DAE"/>
    <w:rsid w:val="0018211B"/>
    <w:rsid w:val="001840D3"/>
    <w:rsid w:val="001900F8"/>
    <w:rsid w:val="00191258"/>
    <w:rsid w:val="00192680"/>
    <w:rsid w:val="00193037"/>
    <w:rsid w:val="0019391B"/>
    <w:rsid w:val="00193A2C"/>
    <w:rsid w:val="00193CC1"/>
    <w:rsid w:val="001A288E"/>
    <w:rsid w:val="001B6DC2"/>
    <w:rsid w:val="001C149C"/>
    <w:rsid w:val="001C21AC"/>
    <w:rsid w:val="001C42CB"/>
    <w:rsid w:val="001C47BA"/>
    <w:rsid w:val="001C59EA"/>
    <w:rsid w:val="001D406C"/>
    <w:rsid w:val="001D41EE"/>
    <w:rsid w:val="001E0380"/>
    <w:rsid w:val="001E13B1"/>
    <w:rsid w:val="001F232F"/>
    <w:rsid w:val="001F3A19"/>
    <w:rsid w:val="00200C48"/>
    <w:rsid w:val="00200F6C"/>
    <w:rsid w:val="0021247F"/>
    <w:rsid w:val="00216F35"/>
    <w:rsid w:val="00234467"/>
    <w:rsid w:val="00237D8D"/>
    <w:rsid w:val="00241DA2"/>
    <w:rsid w:val="002423DE"/>
    <w:rsid w:val="00247FEE"/>
    <w:rsid w:val="00250E7D"/>
    <w:rsid w:val="00251767"/>
    <w:rsid w:val="00256107"/>
    <w:rsid w:val="002565D5"/>
    <w:rsid w:val="002622C0"/>
    <w:rsid w:val="002778AE"/>
    <w:rsid w:val="00277E6C"/>
    <w:rsid w:val="0028269A"/>
    <w:rsid w:val="00283590"/>
    <w:rsid w:val="00286973"/>
    <w:rsid w:val="0029222F"/>
    <w:rsid w:val="00294E70"/>
    <w:rsid w:val="002A1924"/>
    <w:rsid w:val="002A7420"/>
    <w:rsid w:val="002B0F12"/>
    <w:rsid w:val="002B1308"/>
    <w:rsid w:val="002B4554"/>
    <w:rsid w:val="002C72D8"/>
    <w:rsid w:val="002D11FA"/>
    <w:rsid w:val="002D6FDF"/>
    <w:rsid w:val="002E0DDF"/>
    <w:rsid w:val="002E2906"/>
    <w:rsid w:val="002E5635"/>
    <w:rsid w:val="002E64C3"/>
    <w:rsid w:val="002E6A2C"/>
    <w:rsid w:val="002F1D8C"/>
    <w:rsid w:val="002F21DA"/>
    <w:rsid w:val="002F6FF4"/>
    <w:rsid w:val="00301F39"/>
    <w:rsid w:val="003201E9"/>
    <w:rsid w:val="00325926"/>
    <w:rsid w:val="00327A8A"/>
    <w:rsid w:val="003326DD"/>
    <w:rsid w:val="00336610"/>
    <w:rsid w:val="00341E33"/>
    <w:rsid w:val="00343F73"/>
    <w:rsid w:val="00344965"/>
    <w:rsid w:val="00345060"/>
    <w:rsid w:val="00345D06"/>
    <w:rsid w:val="0035323B"/>
    <w:rsid w:val="003609D2"/>
    <w:rsid w:val="00363F22"/>
    <w:rsid w:val="00367FEF"/>
    <w:rsid w:val="00375564"/>
    <w:rsid w:val="00383191"/>
    <w:rsid w:val="00386DED"/>
    <w:rsid w:val="003912E7"/>
    <w:rsid w:val="00393947"/>
    <w:rsid w:val="003A2275"/>
    <w:rsid w:val="003A6A4F"/>
    <w:rsid w:val="003A7088"/>
    <w:rsid w:val="003B00DF"/>
    <w:rsid w:val="003B1275"/>
    <w:rsid w:val="003B1778"/>
    <w:rsid w:val="003B2FD5"/>
    <w:rsid w:val="003C11CB"/>
    <w:rsid w:val="003C75F3"/>
    <w:rsid w:val="003C78A3"/>
    <w:rsid w:val="003E1101"/>
    <w:rsid w:val="003E1867"/>
    <w:rsid w:val="003E5729"/>
    <w:rsid w:val="003F4EE0"/>
    <w:rsid w:val="00402153"/>
    <w:rsid w:val="00402FC1"/>
    <w:rsid w:val="00425082"/>
    <w:rsid w:val="00431DEB"/>
    <w:rsid w:val="00446B29"/>
    <w:rsid w:val="00453F9A"/>
    <w:rsid w:val="00471E91"/>
    <w:rsid w:val="00474675"/>
    <w:rsid w:val="0047470C"/>
    <w:rsid w:val="004747B7"/>
    <w:rsid w:val="004A35F9"/>
    <w:rsid w:val="004B24C1"/>
    <w:rsid w:val="004C292F"/>
    <w:rsid w:val="004C75B3"/>
    <w:rsid w:val="004C7BD8"/>
    <w:rsid w:val="00504DA9"/>
    <w:rsid w:val="00510280"/>
    <w:rsid w:val="00513D73"/>
    <w:rsid w:val="00514A43"/>
    <w:rsid w:val="005174E5"/>
    <w:rsid w:val="00522393"/>
    <w:rsid w:val="00522620"/>
    <w:rsid w:val="00525656"/>
    <w:rsid w:val="00534C02"/>
    <w:rsid w:val="0054264B"/>
    <w:rsid w:val="00543786"/>
    <w:rsid w:val="00544D03"/>
    <w:rsid w:val="005533D7"/>
    <w:rsid w:val="005703DE"/>
    <w:rsid w:val="0058464E"/>
    <w:rsid w:val="005A01CB"/>
    <w:rsid w:val="005A58FF"/>
    <w:rsid w:val="005A5C87"/>
    <w:rsid w:val="005A5EAF"/>
    <w:rsid w:val="005A64C0"/>
    <w:rsid w:val="005B21CA"/>
    <w:rsid w:val="005B3C11"/>
    <w:rsid w:val="005C1C28"/>
    <w:rsid w:val="005C6DB5"/>
    <w:rsid w:val="005E19E7"/>
    <w:rsid w:val="005E1BA1"/>
    <w:rsid w:val="005F2890"/>
    <w:rsid w:val="006140D9"/>
    <w:rsid w:val="0061716C"/>
    <w:rsid w:val="006243A1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82682"/>
    <w:rsid w:val="00682702"/>
    <w:rsid w:val="00692368"/>
    <w:rsid w:val="00697848"/>
    <w:rsid w:val="006A18D1"/>
    <w:rsid w:val="006A2EBC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4938"/>
    <w:rsid w:val="00704DF6"/>
    <w:rsid w:val="0070651C"/>
    <w:rsid w:val="00710159"/>
    <w:rsid w:val="007132A3"/>
    <w:rsid w:val="00716421"/>
    <w:rsid w:val="00724EFB"/>
    <w:rsid w:val="00736B3F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955B1"/>
    <w:rsid w:val="007A0C3C"/>
    <w:rsid w:val="007B1625"/>
    <w:rsid w:val="007B706E"/>
    <w:rsid w:val="007B71EB"/>
    <w:rsid w:val="007C6205"/>
    <w:rsid w:val="007C686A"/>
    <w:rsid w:val="007C728E"/>
    <w:rsid w:val="007D2C53"/>
    <w:rsid w:val="007D3D60"/>
    <w:rsid w:val="007E030B"/>
    <w:rsid w:val="007E1980"/>
    <w:rsid w:val="007E4B76"/>
    <w:rsid w:val="007E5EA8"/>
    <w:rsid w:val="007F0CF1"/>
    <w:rsid w:val="007F12A5"/>
    <w:rsid w:val="007F4CF1"/>
    <w:rsid w:val="007F758D"/>
    <w:rsid w:val="007F7D52"/>
    <w:rsid w:val="00800D14"/>
    <w:rsid w:val="0080654C"/>
    <w:rsid w:val="008071C6"/>
    <w:rsid w:val="00817A00"/>
    <w:rsid w:val="00821DC9"/>
    <w:rsid w:val="00835DB3"/>
    <w:rsid w:val="0083617B"/>
    <w:rsid w:val="008371BD"/>
    <w:rsid w:val="00840078"/>
    <w:rsid w:val="008504A8"/>
    <w:rsid w:val="0085282E"/>
    <w:rsid w:val="0087198C"/>
    <w:rsid w:val="00872C1F"/>
    <w:rsid w:val="00873B42"/>
    <w:rsid w:val="008856D8"/>
    <w:rsid w:val="00892E82"/>
    <w:rsid w:val="008C1B58"/>
    <w:rsid w:val="008C39AE"/>
    <w:rsid w:val="008C590D"/>
    <w:rsid w:val="008E031B"/>
    <w:rsid w:val="008E7029"/>
    <w:rsid w:val="008E7EF6"/>
    <w:rsid w:val="008F1F98"/>
    <w:rsid w:val="008F6758"/>
    <w:rsid w:val="009040DD"/>
    <w:rsid w:val="00905B47"/>
    <w:rsid w:val="00910CF5"/>
    <w:rsid w:val="0091331C"/>
    <w:rsid w:val="009279DE"/>
    <w:rsid w:val="00930116"/>
    <w:rsid w:val="0094212C"/>
    <w:rsid w:val="00954689"/>
    <w:rsid w:val="009617C9"/>
    <w:rsid w:val="00961C93"/>
    <w:rsid w:val="00965324"/>
    <w:rsid w:val="0097091E"/>
    <w:rsid w:val="009760D3"/>
    <w:rsid w:val="00977132"/>
    <w:rsid w:val="00981A4B"/>
    <w:rsid w:val="00982501"/>
    <w:rsid w:val="009877D3"/>
    <w:rsid w:val="009907D4"/>
    <w:rsid w:val="0099487B"/>
    <w:rsid w:val="00994E8F"/>
    <w:rsid w:val="009951DC"/>
    <w:rsid w:val="009959BB"/>
    <w:rsid w:val="00997158"/>
    <w:rsid w:val="009A3381"/>
    <w:rsid w:val="009A3A7C"/>
    <w:rsid w:val="009A7386"/>
    <w:rsid w:val="009B2ADB"/>
    <w:rsid w:val="009B603A"/>
    <w:rsid w:val="009C2154"/>
    <w:rsid w:val="009C2D0E"/>
    <w:rsid w:val="009C3DAC"/>
    <w:rsid w:val="009C42E0"/>
    <w:rsid w:val="009D5362"/>
    <w:rsid w:val="009E1415"/>
    <w:rsid w:val="009E6116"/>
    <w:rsid w:val="009F3134"/>
    <w:rsid w:val="009F3A3C"/>
    <w:rsid w:val="00A02E43"/>
    <w:rsid w:val="00A035CE"/>
    <w:rsid w:val="00A0519B"/>
    <w:rsid w:val="00A065F9"/>
    <w:rsid w:val="00A07F34"/>
    <w:rsid w:val="00A22154"/>
    <w:rsid w:val="00A25C38"/>
    <w:rsid w:val="00A36BBE"/>
    <w:rsid w:val="00A4307A"/>
    <w:rsid w:val="00A47EBB"/>
    <w:rsid w:val="00A51CDD"/>
    <w:rsid w:val="00A51E3D"/>
    <w:rsid w:val="00A637BF"/>
    <w:rsid w:val="00A6730D"/>
    <w:rsid w:val="00A71625"/>
    <w:rsid w:val="00A71B9B"/>
    <w:rsid w:val="00A751C7"/>
    <w:rsid w:val="00A87844"/>
    <w:rsid w:val="00A97A63"/>
    <w:rsid w:val="00AA038C"/>
    <w:rsid w:val="00AA7A09"/>
    <w:rsid w:val="00AB3B50"/>
    <w:rsid w:val="00AC05B1"/>
    <w:rsid w:val="00AD356C"/>
    <w:rsid w:val="00AD6275"/>
    <w:rsid w:val="00AE2914"/>
    <w:rsid w:val="00AE6D15"/>
    <w:rsid w:val="00B04182"/>
    <w:rsid w:val="00B07AE3"/>
    <w:rsid w:val="00B07D9E"/>
    <w:rsid w:val="00B11430"/>
    <w:rsid w:val="00B22428"/>
    <w:rsid w:val="00B353EB"/>
    <w:rsid w:val="00B3713A"/>
    <w:rsid w:val="00B439C4"/>
    <w:rsid w:val="00B4535E"/>
    <w:rsid w:val="00B52A8C"/>
    <w:rsid w:val="00B636A8"/>
    <w:rsid w:val="00B665C6"/>
    <w:rsid w:val="00B805AF"/>
    <w:rsid w:val="00B869EC"/>
    <w:rsid w:val="00B921E4"/>
    <w:rsid w:val="00B9397A"/>
    <w:rsid w:val="00B9633D"/>
    <w:rsid w:val="00BA2D30"/>
    <w:rsid w:val="00BA2EBE"/>
    <w:rsid w:val="00BB0F28"/>
    <w:rsid w:val="00BB16BB"/>
    <w:rsid w:val="00BB458A"/>
    <w:rsid w:val="00BD00D3"/>
    <w:rsid w:val="00BD0505"/>
    <w:rsid w:val="00BD1659"/>
    <w:rsid w:val="00BD3AA9"/>
    <w:rsid w:val="00BD4A18"/>
    <w:rsid w:val="00BD6DB2"/>
    <w:rsid w:val="00BE11CF"/>
    <w:rsid w:val="00BE21AB"/>
    <w:rsid w:val="00BE55CB"/>
    <w:rsid w:val="00BF617A"/>
    <w:rsid w:val="00C0379D"/>
    <w:rsid w:val="00C03931"/>
    <w:rsid w:val="00C05FE3"/>
    <w:rsid w:val="00C0788C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601D2"/>
    <w:rsid w:val="00C65BCC"/>
    <w:rsid w:val="00C66970"/>
    <w:rsid w:val="00C76815"/>
    <w:rsid w:val="00C8159F"/>
    <w:rsid w:val="00C858FA"/>
    <w:rsid w:val="00C85CAF"/>
    <w:rsid w:val="00C8691C"/>
    <w:rsid w:val="00CA168A"/>
    <w:rsid w:val="00CA357E"/>
    <w:rsid w:val="00CA44F9"/>
    <w:rsid w:val="00CA475A"/>
    <w:rsid w:val="00CA4A69"/>
    <w:rsid w:val="00CA6CB1"/>
    <w:rsid w:val="00CB22E2"/>
    <w:rsid w:val="00CC3408"/>
    <w:rsid w:val="00CC3E0C"/>
    <w:rsid w:val="00CC58D3"/>
    <w:rsid w:val="00CC784D"/>
    <w:rsid w:val="00CD08FE"/>
    <w:rsid w:val="00D0337B"/>
    <w:rsid w:val="00D079B2"/>
    <w:rsid w:val="00D114E9"/>
    <w:rsid w:val="00D173E1"/>
    <w:rsid w:val="00D429C6"/>
    <w:rsid w:val="00D42FBF"/>
    <w:rsid w:val="00D46BF9"/>
    <w:rsid w:val="00D47748"/>
    <w:rsid w:val="00D54CC3"/>
    <w:rsid w:val="00D560B0"/>
    <w:rsid w:val="00D6041A"/>
    <w:rsid w:val="00D62831"/>
    <w:rsid w:val="00D633EB"/>
    <w:rsid w:val="00D80DC8"/>
    <w:rsid w:val="00D82FF7"/>
    <w:rsid w:val="00D847FE"/>
    <w:rsid w:val="00D90B41"/>
    <w:rsid w:val="00D964EA"/>
    <w:rsid w:val="00D966D0"/>
    <w:rsid w:val="00DA0C59"/>
    <w:rsid w:val="00DA3991"/>
    <w:rsid w:val="00DA4F58"/>
    <w:rsid w:val="00DB7E6C"/>
    <w:rsid w:val="00DD0F58"/>
    <w:rsid w:val="00DD5A29"/>
    <w:rsid w:val="00DD5D9D"/>
    <w:rsid w:val="00DE35CB"/>
    <w:rsid w:val="00DF21E9"/>
    <w:rsid w:val="00E00F14"/>
    <w:rsid w:val="00E01721"/>
    <w:rsid w:val="00E06386"/>
    <w:rsid w:val="00E201B6"/>
    <w:rsid w:val="00E24EB4"/>
    <w:rsid w:val="00E320ED"/>
    <w:rsid w:val="00E33AFB"/>
    <w:rsid w:val="00E34218"/>
    <w:rsid w:val="00E348F2"/>
    <w:rsid w:val="00E429A2"/>
    <w:rsid w:val="00E46282"/>
    <w:rsid w:val="00E5216E"/>
    <w:rsid w:val="00E617BC"/>
    <w:rsid w:val="00E82344"/>
    <w:rsid w:val="00E84C82"/>
    <w:rsid w:val="00E84D64"/>
    <w:rsid w:val="00E87408"/>
    <w:rsid w:val="00E914C4"/>
    <w:rsid w:val="00E934F5"/>
    <w:rsid w:val="00E96961"/>
    <w:rsid w:val="00EA3261"/>
    <w:rsid w:val="00EA4800"/>
    <w:rsid w:val="00EA72EC"/>
    <w:rsid w:val="00EB11CB"/>
    <w:rsid w:val="00EB1CBF"/>
    <w:rsid w:val="00EB275A"/>
    <w:rsid w:val="00EB786A"/>
    <w:rsid w:val="00EC1578"/>
    <w:rsid w:val="00EC1C72"/>
    <w:rsid w:val="00EC3CC9"/>
    <w:rsid w:val="00EC680A"/>
    <w:rsid w:val="00ED4FEB"/>
    <w:rsid w:val="00EE2BED"/>
    <w:rsid w:val="00EE374B"/>
    <w:rsid w:val="00F11BB5"/>
    <w:rsid w:val="00F1417B"/>
    <w:rsid w:val="00F17155"/>
    <w:rsid w:val="00F26BFC"/>
    <w:rsid w:val="00F34B99"/>
    <w:rsid w:val="00F360B0"/>
    <w:rsid w:val="00F52DAB"/>
    <w:rsid w:val="00F543F0"/>
    <w:rsid w:val="00F724FA"/>
    <w:rsid w:val="00F72C14"/>
    <w:rsid w:val="00F81D29"/>
    <w:rsid w:val="00F91C4D"/>
    <w:rsid w:val="00F92FD9"/>
    <w:rsid w:val="00FA1B9D"/>
    <w:rsid w:val="00FA6684"/>
    <w:rsid w:val="00FA731E"/>
    <w:rsid w:val="00FB2B38"/>
    <w:rsid w:val="00FC6358"/>
    <w:rsid w:val="00FD320D"/>
    <w:rsid w:val="00FD4B6D"/>
    <w:rsid w:val="00FE23DE"/>
    <w:rsid w:val="00FF03B6"/>
    <w:rsid w:val="00FF12B6"/>
    <w:rsid w:val="035D2FA7"/>
    <w:rsid w:val="2BA1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nhideWhenUsed="0" w:uiPriority="0" w:semiHidden="0" w:name="index 4"/>
    <w:lsdException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name="toc 2"/>
    <w:lsdException w:unhideWhenUsed="0" w:uiPriority="39" w:semiHidden="0" w:name="toc 3"/>
    <w:lsdException w:qFormat="1"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39"/>
    <w:qFormat/>
    <w:uiPriority w:val="0"/>
    <w:pPr>
      <w:keepNext/>
      <w:jc w:val="right"/>
      <w:outlineLvl w:val="2"/>
    </w:pPr>
    <w:rPr>
      <w:rFonts w:ascii="宋体" w:hAnsi="宋体"/>
      <w:sz w:val="28"/>
    </w:rPr>
  </w:style>
  <w:style w:type="paragraph" w:styleId="4">
    <w:name w:val="heading 4"/>
    <w:basedOn w:val="1"/>
    <w:next w:val="1"/>
    <w:link w:val="140"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32">
    <w:name w:val="Default Paragraph Font"/>
    <w:unhideWhenUsed/>
    <w:uiPriority w:val="1"/>
  </w:style>
  <w:style w:type="table" w:default="1" w:styleId="3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semiHidden/>
    <w:uiPriority w:val="0"/>
    <w:pPr>
      <w:tabs>
        <w:tab w:val="right" w:leader="dot" w:pos="9241"/>
      </w:tabs>
      <w:ind w:firstLine="505" w:firstLineChars="500"/>
      <w:jc w:val="left"/>
    </w:pPr>
    <w:rPr>
      <w:rFonts w:ascii="宋体"/>
      <w:szCs w:val="21"/>
    </w:rPr>
  </w:style>
  <w:style w:type="paragraph" w:styleId="6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7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8">
    <w:name w:val="index 5"/>
    <w:basedOn w:val="1"/>
    <w:next w:val="1"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9">
    <w:name w:val="Document Map"/>
    <w:basedOn w:val="1"/>
    <w:semiHidden/>
    <w:qFormat/>
    <w:uiPriority w:val="0"/>
    <w:pPr>
      <w:shd w:val="clear" w:color="auto" w:fill="000080"/>
    </w:pPr>
  </w:style>
  <w:style w:type="paragraph" w:styleId="10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1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2">
    <w:name w:val="toc 5"/>
    <w:basedOn w:val="1"/>
    <w:next w:val="1"/>
    <w:semiHidden/>
    <w:uiPriority w:val="0"/>
    <w:pPr>
      <w:tabs>
        <w:tab w:val="right" w:leader="dot" w:pos="9241"/>
      </w:tabs>
      <w:ind w:firstLine="300" w:firstLineChars="300"/>
      <w:jc w:val="left"/>
    </w:pPr>
    <w:rPr>
      <w:rFonts w:ascii="宋体"/>
      <w:szCs w:val="21"/>
    </w:rPr>
  </w:style>
  <w:style w:type="paragraph" w:styleId="13">
    <w:name w:val="toc 3"/>
    <w:basedOn w:val="1"/>
    <w:next w:val="1"/>
    <w:uiPriority w:val="39"/>
    <w:pPr>
      <w:tabs>
        <w:tab w:val="right" w:leader="dot" w:pos="9241"/>
      </w:tabs>
      <w:ind w:firstLine="102" w:firstLineChars="100"/>
      <w:jc w:val="left"/>
    </w:pPr>
    <w:rPr>
      <w:rFonts w:ascii="宋体"/>
      <w:szCs w:val="21"/>
    </w:rPr>
  </w:style>
  <w:style w:type="paragraph" w:styleId="14">
    <w:name w:val="toc 8"/>
    <w:basedOn w:val="1"/>
    <w:next w:val="1"/>
    <w:semiHidden/>
    <w:uiPriority w:val="0"/>
    <w:pPr>
      <w:tabs>
        <w:tab w:val="right" w:leader="dot" w:pos="9241"/>
      </w:tabs>
      <w:ind w:firstLine="607" w:firstLineChars="600"/>
      <w:jc w:val="left"/>
    </w:pPr>
    <w:rPr>
      <w:rFonts w:ascii="宋体"/>
      <w:szCs w:val="21"/>
    </w:rPr>
  </w:style>
  <w:style w:type="paragraph" w:styleId="15">
    <w:name w:val="index 3"/>
    <w:basedOn w:val="1"/>
    <w:next w:val="1"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6">
    <w:name w:val="Date"/>
    <w:basedOn w:val="1"/>
    <w:next w:val="1"/>
    <w:link w:val="136"/>
    <w:uiPriority w:val="0"/>
    <w:rPr>
      <w:rFonts w:ascii="宋体"/>
      <w:sz w:val="24"/>
      <w:szCs w:val="20"/>
    </w:rPr>
  </w:style>
  <w:style w:type="paragraph" w:styleId="17">
    <w:name w:val="endnote text"/>
    <w:basedOn w:val="1"/>
    <w:semiHidden/>
    <w:qFormat/>
    <w:uiPriority w:val="0"/>
    <w:pPr>
      <w:snapToGrid w:val="0"/>
      <w:jc w:val="left"/>
    </w:pPr>
  </w:style>
  <w:style w:type="paragraph" w:styleId="18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9">
    <w:name w:val="header"/>
    <w:basedOn w:val="1"/>
    <w:uiPriority w:val="0"/>
    <w:pPr>
      <w:snapToGrid w:val="0"/>
      <w:jc w:val="left"/>
    </w:pPr>
    <w:rPr>
      <w:sz w:val="18"/>
      <w:szCs w:val="18"/>
    </w:rPr>
  </w:style>
  <w:style w:type="paragraph" w:styleId="20">
    <w:name w:val="toc 1"/>
    <w:basedOn w:val="1"/>
    <w:next w:val="1"/>
    <w:uiPriority w:val="39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1">
    <w:name w:val="toc 4"/>
    <w:basedOn w:val="1"/>
    <w:next w:val="1"/>
    <w:semiHidden/>
    <w:qFormat/>
    <w:uiPriority w:val="0"/>
    <w:pPr>
      <w:tabs>
        <w:tab w:val="right" w:leader="dot" w:pos="9241"/>
      </w:tabs>
      <w:ind w:firstLine="198" w:firstLineChars="200"/>
      <w:jc w:val="left"/>
    </w:pPr>
    <w:rPr>
      <w:rFonts w:ascii="宋体"/>
      <w:szCs w:val="21"/>
    </w:rPr>
  </w:style>
  <w:style w:type="paragraph" w:styleId="22">
    <w:name w:val="index heading"/>
    <w:basedOn w:val="1"/>
    <w:next w:val="23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3">
    <w:name w:val="index 1"/>
    <w:basedOn w:val="1"/>
    <w:next w:val="24"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4">
    <w:name w:val="段"/>
    <w:link w:val="40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5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6">
    <w:name w:val="toc 6"/>
    <w:basedOn w:val="1"/>
    <w:next w:val="1"/>
    <w:semiHidden/>
    <w:uiPriority w:val="0"/>
    <w:pPr>
      <w:tabs>
        <w:tab w:val="right" w:leader="dot" w:pos="9241"/>
      </w:tabs>
      <w:ind w:firstLine="403" w:firstLineChars="400"/>
      <w:jc w:val="left"/>
    </w:pPr>
    <w:rPr>
      <w:rFonts w:ascii="宋体"/>
      <w:szCs w:val="21"/>
    </w:rPr>
  </w:style>
  <w:style w:type="paragraph" w:styleId="27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8">
    <w:name w:val="index 9"/>
    <w:basedOn w:val="1"/>
    <w:next w:val="1"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9">
    <w:name w:val="toc 2"/>
    <w:basedOn w:val="1"/>
    <w:next w:val="1"/>
    <w:semiHidden/>
    <w:uiPriority w:val="0"/>
    <w:pPr>
      <w:tabs>
        <w:tab w:val="right" w:leader="dot" w:pos="9241"/>
      </w:tabs>
    </w:pPr>
    <w:rPr>
      <w:rFonts w:ascii="宋体"/>
      <w:szCs w:val="21"/>
    </w:rPr>
  </w:style>
  <w:style w:type="paragraph" w:styleId="30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31">
    <w:name w:val="index 2"/>
    <w:basedOn w:val="1"/>
    <w:next w:val="1"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33">
    <w:name w:val="endnote reference"/>
    <w:semiHidden/>
    <w:qFormat/>
    <w:uiPriority w:val="0"/>
    <w:rPr>
      <w:vertAlign w:val="superscript"/>
    </w:rPr>
  </w:style>
  <w:style w:type="character" w:styleId="34">
    <w:name w:val="page number"/>
    <w:qFormat/>
    <w:uiPriority w:val="0"/>
    <w:rPr>
      <w:rFonts w:ascii="Times New Roman" w:hAnsi="Times New Roman" w:eastAsia="宋体"/>
      <w:sz w:val="18"/>
    </w:rPr>
  </w:style>
  <w:style w:type="character" w:styleId="35">
    <w:name w:val="FollowedHyperlink"/>
    <w:uiPriority w:val="0"/>
    <w:rPr>
      <w:color w:val="800080"/>
      <w:u w:val="single"/>
    </w:rPr>
  </w:style>
  <w:style w:type="character" w:styleId="36">
    <w:name w:val="Hyperlink"/>
    <w:qFormat/>
    <w:uiPriority w:val="99"/>
    <w:rPr>
      <w:color w:val="0000FF"/>
      <w:spacing w:val="0"/>
      <w:w w:val="100"/>
      <w:szCs w:val="21"/>
      <w:u w:val="single"/>
    </w:rPr>
  </w:style>
  <w:style w:type="character" w:styleId="37">
    <w:name w:val="footnote reference"/>
    <w:semiHidden/>
    <w:qFormat/>
    <w:uiPriority w:val="0"/>
    <w:rPr>
      <w:vertAlign w:val="superscript"/>
    </w:rPr>
  </w:style>
  <w:style w:type="table" w:styleId="39">
    <w:name w:val="Table Grid"/>
    <w:basedOn w:val="38"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段 Char"/>
    <w:link w:val="24"/>
    <w:qFormat/>
    <w:uiPriority w:val="0"/>
    <w:rPr>
      <w:rFonts w:ascii="宋体"/>
      <w:sz w:val="21"/>
      <w:lang w:val="en-US" w:eastAsia="zh-CN" w:bidi="ar-SA"/>
    </w:rPr>
  </w:style>
  <w:style w:type="paragraph" w:customStyle="1" w:styleId="41">
    <w:name w:val="一级条标题"/>
    <w:next w:val="24"/>
    <w:qFormat/>
    <w:uiPriority w:val="0"/>
    <w:pPr>
      <w:numPr>
        <w:ilvl w:val="1"/>
        <w:numId w:val="2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2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43">
    <w:name w:val="标准书眉_奇数页"/>
    <w:next w:val="1"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44">
    <w:name w:val="章标题"/>
    <w:next w:val="24"/>
    <w:qFormat/>
    <w:uiPriority w:val="0"/>
    <w:p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45">
    <w:name w:val="二级条标题"/>
    <w:basedOn w:val="41"/>
    <w:next w:val="24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46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47">
    <w:name w:val="列项——（一级）"/>
    <w:uiPriority w:val="0"/>
    <w:pPr>
      <w:widowControl w:val="0"/>
      <w:numPr>
        <w:ilvl w:val="0"/>
        <w:numId w:val="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8">
    <w:name w:val="列项●（二级）"/>
    <w:qFormat/>
    <w:uiPriority w:val="0"/>
    <w:pPr>
      <w:numPr>
        <w:ilvl w:val="1"/>
        <w:numId w:val="3"/>
      </w:numPr>
      <w:tabs>
        <w:tab w:val="left" w:pos="840"/>
        <w:tab w:val="clear" w:pos="76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49">
    <w:name w:val="目次、标准名称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0">
    <w:name w:val="三级条标题"/>
    <w:basedOn w:val="45"/>
    <w:next w:val="24"/>
    <w:uiPriority w:val="0"/>
    <w:pPr>
      <w:numPr>
        <w:ilvl w:val="3"/>
      </w:numPr>
      <w:outlineLvl w:val="4"/>
    </w:pPr>
  </w:style>
  <w:style w:type="paragraph" w:customStyle="1" w:styleId="51">
    <w:name w:val="示例"/>
    <w:next w:val="52"/>
    <w:uiPriority w:val="0"/>
    <w:pPr>
      <w:widowControl w:val="0"/>
      <w:ind w:firstLine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2">
    <w:name w:val="示例内容"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3">
    <w:name w:val="数字编号列项（二级）"/>
    <w:qFormat/>
    <w:uiPriority w:val="0"/>
    <w:pPr>
      <w:numPr>
        <w:ilvl w:val="1"/>
        <w:numId w:val="4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4">
    <w:name w:val="四级条标题"/>
    <w:basedOn w:val="50"/>
    <w:next w:val="24"/>
    <w:qFormat/>
    <w:uiPriority w:val="0"/>
    <w:pPr>
      <w:numPr>
        <w:ilvl w:val="4"/>
      </w:numPr>
      <w:outlineLvl w:val="5"/>
    </w:pPr>
  </w:style>
  <w:style w:type="paragraph" w:customStyle="1" w:styleId="55">
    <w:name w:val="五级条标题"/>
    <w:basedOn w:val="54"/>
    <w:next w:val="24"/>
    <w:uiPriority w:val="0"/>
    <w:pPr>
      <w:numPr>
        <w:ilvl w:val="5"/>
      </w:numPr>
      <w:outlineLvl w:val="6"/>
    </w:pPr>
  </w:style>
  <w:style w:type="paragraph" w:customStyle="1" w:styleId="56">
    <w:name w:val="注："/>
    <w:next w:val="24"/>
    <w:qFormat/>
    <w:uiPriority w:val="0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7">
    <w:name w:val="注×："/>
    <w:uiPriority w:val="0"/>
    <w:pPr>
      <w:widowControl w:val="0"/>
      <w:autoSpaceDE w:val="0"/>
      <w:autoSpaceDN w:val="0"/>
      <w:ind w:left="811" w:hanging="448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58">
    <w:name w:val="字母编号列项（一级）"/>
    <w:uiPriority w:val="0"/>
    <w:pPr>
      <w:numPr>
        <w:ilvl w:val="0"/>
        <w:numId w:val="4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9">
    <w:name w:val="列项◆（三级）"/>
    <w:basedOn w:val="1"/>
    <w:uiPriority w:val="0"/>
    <w:pPr>
      <w:numPr>
        <w:ilvl w:val="2"/>
        <w:numId w:val="3"/>
      </w:numPr>
    </w:pPr>
    <w:rPr>
      <w:rFonts w:ascii="宋体"/>
      <w:szCs w:val="21"/>
    </w:rPr>
  </w:style>
  <w:style w:type="paragraph" w:customStyle="1" w:styleId="60">
    <w:name w:val="编号列项（三级）"/>
    <w:qFormat/>
    <w:uiPriority w:val="0"/>
    <w:pPr>
      <w:numPr>
        <w:ilvl w:val="2"/>
        <w:numId w:val="4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1">
    <w:name w:val="示例×："/>
    <w:basedOn w:val="44"/>
    <w:qFormat/>
    <w:uiPriority w:val="0"/>
    <w:pPr>
      <w:spacing w:beforeLines="0" w:afterLines="0"/>
      <w:ind w:firstLine="363"/>
      <w:outlineLvl w:val="9"/>
    </w:pPr>
    <w:rPr>
      <w:rFonts w:ascii="宋体" w:eastAsia="宋体"/>
      <w:sz w:val="18"/>
      <w:szCs w:val="18"/>
    </w:rPr>
  </w:style>
  <w:style w:type="paragraph" w:customStyle="1" w:styleId="62">
    <w:name w:val="二级无"/>
    <w:basedOn w:val="45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63">
    <w:name w:val="注：（正文）"/>
    <w:basedOn w:val="56"/>
    <w:next w:val="24"/>
    <w:qFormat/>
    <w:uiPriority w:val="0"/>
  </w:style>
  <w:style w:type="paragraph" w:customStyle="1" w:styleId="64">
    <w:name w:val="注×：（正文）"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5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6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67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68">
    <w:name w:val="标准书眉_偶数页"/>
    <w:basedOn w:val="43"/>
    <w:next w:val="1"/>
    <w:uiPriority w:val="0"/>
    <w:pPr>
      <w:jc w:val="left"/>
    </w:pPr>
  </w:style>
  <w:style w:type="paragraph" w:customStyle="1" w:styleId="69">
    <w:name w:val="标准书眉一"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70">
    <w:name w:val="参考文献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1">
    <w:name w:val="参考文献、索引标题"/>
    <w:basedOn w:val="1"/>
    <w:next w:val="24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2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73">
    <w:name w:val="发布部门"/>
    <w:next w:val="24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4">
    <w:name w:val="发布日期"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75">
    <w:name w:val="封面标准代替信息"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76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7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78">
    <w:name w:val="封面标准英文名称"/>
    <w:basedOn w:val="77"/>
    <w:uiPriority w:val="0"/>
    <w:pPr>
      <w:framePr/>
      <w:spacing w:before="370" w:line="400" w:lineRule="exact"/>
    </w:pPr>
    <w:rPr>
      <w:rFonts w:ascii="Times New Roman"/>
      <w:sz w:val="28"/>
      <w:szCs w:val="28"/>
    </w:rPr>
  </w:style>
  <w:style w:type="paragraph" w:customStyle="1" w:styleId="79">
    <w:name w:val="封面一致性程度标识"/>
    <w:basedOn w:val="78"/>
    <w:uiPriority w:val="0"/>
    <w:pPr>
      <w:framePr/>
      <w:spacing w:before="440"/>
    </w:pPr>
    <w:rPr>
      <w:rFonts w:ascii="宋体" w:eastAsia="宋体"/>
    </w:rPr>
  </w:style>
  <w:style w:type="paragraph" w:customStyle="1" w:styleId="80">
    <w:name w:val="封面标准文稿类别"/>
    <w:basedOn w:val="79"/>
    <w:uiPriority w:val="0"/>
    <w:pPr>
      <w:framePr/>
      <w:spacing w:after="160" w:line="240" w:lineRule="auto"/>
    </w:pPr>
    <w:rPr>
      <w:sz w:val="24"/>
    </w:rPr>
  </w:style>
  <w:style w:type="paragraph" w:customStyle="1" w:styleId="81">
    <w:name w:val="封面标准文稿编辑信息"/>
    <w:basedOn w:val="80"/>
    <w:qFormat/>
    <w:uiPriority w:val="0"/>
    <w:pPr>
      <w:framePr/>
      <w:spacing w:before="180" w:line="180" w:lineRule="exact"/>
    </w:pPr>
    <w:rPr>
      <w:sz w:val="21"/>
    </w:rPr>
  </w:style>
  <w:style w:type="paragraph" w:customStyle="1" w:styleId="82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3">
    <w:name w:val="附录标识"/>
    <w:basedOn w:val="1"/>
    <w:next w:val="24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84">
    <w:name w:val="附录标题"/>
    <w:basedOn w:val="24"/>
    <w:next w:val="24"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85">
    <w:name w:val="附录表标号"/>
    <w:basedOn w:val="1"/>
    <w:next w:val="24"/>
    <w:qFormat/>
    <w:uiPriority w:val="0"/>
    <w:pPr>
      <w:numPr>
        <w:ilvl w:val="0"/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86">
    <w:name w:val="附录表标题"/>
    <w:basedOn w:val="1"/>
    <w:next w:val="24"/>
    <w:uiPriority w:val="0"/>
    <w:pPr>
      <w:numPr>
        <w:ilvl w:val="1"/>
        <w:numId w:val="7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87">
    <w:name w:val="附录二级条标题"/>
    <w:basedOn w:val="1"/>
    <w:next w:val="24"/>
    <w:qFormat/>
    <w:uiPriority w:val="0"/>
    <w:pPr>
      <w:widowControl/>
      <w:numPr>
        <w:ilvl w:val="3"/>
        <w:numId w:val="6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88">
    <w:name w:val="附录二级无"/>
    <w:basedOn w:val="87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89">
    <w:name w:val="附录公式"/>
    <w:basedOn w:val="24"/>
    <w:next w:val="24"/>
    <w:link w:val="90"/>
    <w:qFormat/>
    <w:uiPriority w:val="0"/>
  </w:style>
  <w:style w:type="character" w:customStyle="1" w:styleId="90">
    <w:name w:val="附录公式 Char"/>
    <w:link w:val="89"/>
    <w:qFormat/>
    <w:uiPriority w:val="0"/>
    <w:rPr>
      <w:rFonts w:ascii="宋体"/>
      <w:sz w:val="21"/>
      <w:lang w:val="en-US" w:eastAsia="zh-CN" w:bidi="ar-SA"/>
    </w:rPr>
  </w:style>
  <w:style w:type="paragraph" w:customStyle="1" w:styleId="91">
    <w:name w:val="附录公式编号制表符"/>
    <w:basedOn w:val="1"/>
    <w:next w:val="24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92">
    <w:name w:val="附录三级条标题"/>
    <w:basedOn w:val="87"/>
    <w:next w:val="24"/>
    <w:qFormat/>
    <w:uiPriority w:val="0"/>
    <w:pPr>
      <w:numPr>
        <w:ilvl w:val="4"/>
      </w:numPr>
      <w:outlineLvl w:val="4"/>
    </w:pPr>
  </w:style>
  <w:style w:type="paragraph" w:customStyle="1" w:styleId="93">
    <w:name w:val="附录三级无"/>
    <w:basedOn w:val="92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4">
    <w:name w:val="附录数字编号列项（二级）"/>
    <w:qFormat/>
    <w:uiPriority w:val="0"/>
    <w:pPr>
      <w:numPr>
        <w:ilvl w:val="1"/>
        <w:numId w:val="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5">
    <w:name w:val="附录四级条标题"/>
    <w:basedOn w:val="92"/>
    <w:next w:val="24"/>
    <w:qFormat/>
    <w:uiPriority w:val="0"/>
    <w:pPr>
      <w:numPr>
        <w:ilvl w:val="5"/>
      </w:numPr>
      <w:outlineLvl w:val="5"/>
    </w:pPr>
  </w:style>
  <w:style w:type="paragraph" w:customStyle="1" w:styleId="96">
    <w:name w:val="附录四级无"/>
    <w:basedOn w:val="95"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97">
    <w:name w:val="附录图标号"/>
    <w:basedOn w:val="1"/>
    <w:uiPriority w:val="0"/>
    <w:pPr>
      <w:keepNext/>
      <w:pageBreakBefore/>
      <w:widowControl/>
      <w:numPr>
        <w:ilvl w:val="0"/>
        <w:numId w:val="9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98">
    <w:name w:val="附录图标题"/>
    <w:basedOn w:val="1"/>
    <w:next w:val="24"/>
    <w:qFormat/>
    <w:uiPriority w:val="0"/>
    <w:pPr>
      <w:numPr>
        <w:ilvl w:val="1"/>
        <w:numId w:val="9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9">
    <w:name w:val="附录五级条标题"/>
    <w:basedOn w:val="95"/>
    <w:next w:val="24"/>
    <w:uiPriority w:val="0"/>
    <w:pPr>
      <w:numPr>
        <w:ilvl w:val="6"/>
      </w:numPr>
      <w:outlineLvl w:val="6"/>
    </w:pPr>
  </w:style>
  <w:style w:type="paragraph" w:customStyle="1" w:styleId="100">
    <w:name w:val="附录五级无"/>
    <w:basedOn w:val="99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1">
    <w:name w:val="附录章标题"/>
    <w:next w:val="24"/>
    <w:qFormat/>
    <w:uiPriority w:val="0"/>
    <w:pPr>
      <w:numPr>
        <w:ilvl w:val="1"/>
        <w:numId w:val="6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02">
    <w:name w:val="附录一级条标题"/>
    <w:basedOn w:val="101"/>
    <w:next w:val="24"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103">
    <w:name w:val="附录一级无"/>
    <w:basedOn w:val="102"/>
    <w:qFormat/>
    <w:uiPriority w:val="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104">
    <w:name w:val="附录字母编号列项（一级）"/>
    <w:qFormat/>
    <w:uiPriority w:val="0"/>
    <w:pPr>
      <w:numPr>
        <w:ilvl w:val="0"/>
        <w:numId w:val="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5">
    <w:name w:val="列项说明"/>
    <w:basedOn w:val="1"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106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08">
    <w:name w:val="其他标准标志"/>
    <w:basedOn w:val="65"/>
    <w:qFormat/>
    <w:uiPriority w:val="0"/>
    <w:pPr>
      <w:framePr w:w="6101" w:vAnchor="page" w:hAnchor="page" w:x="4673" w:y="942"/>
    </w:pPr>
    <w:rPr>
      <w:w w:val="130"/>
    </w:rPr>
  </w:style>
  <w:style w:type="paragraph" w:customStyle="1" w:styleId="109">
    <w:name w:val="其他标准称谓"/>
    <w:next w:val="1"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110">
    <w:name w:val="其他发布部门"/>
    <w:basedOn w:val="73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111">
    <w:name w:val="前言、引言标题"/>
    <w:next w:val="24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2">
    <w:name w:val="三级无"/>
    <w:basedOn w:val="50"/>
    <w:uiPriority w:val="0"/>
    <w:pPr>
      <w:spacing w:beforeLines="0" w:afterLines="0"/>
    </w:pPr>
    <w:rPr>
      <w:rFonts w:ascii="宋体" w:eastAsia="宋体"/>
    </w:rPr>
  </w:style>
  <w:style w:type="paragraph" w:customStyle="1" w:styleId="113">
    <w:name w:val="实施日期"/>
    <w:basedOn w:val="74"/>
    <w:uiPriority w:val="0"/>
    <w:pPr>
      <w:framePr w:vAnchor="page" w:hAnchor="text"/>
      <w:jc w:val="right"/>
    </w:pPr>
  </w:style>
  <w:style w:type="paragraph" w:customStyle="1" w:styleId="114">
    <w:name w:val="示例后文字"/>
    <w:basedOn w:val="24"/>
    <w:next w:val="24"/>
    <w:qFormat/>
    <w:uiPriority w:val="0"/>
    <w:pPr>
      <w:ind w:firstLine="360"/>
    </w:pPr>
    <w:rPr>
      <w:sz w:val="18"/>
    </w:rPr>
  </w:style>
  <w:style w:type="paragraph" w:customStyle="1" w:styleId="115">
    <w:name w:val="首示例"/>
    <w:next w:val="24"/>
    <w:link w:val="116"/>
    <w:qFormat/>
    <w:uiPriority w:val="0"/>
    <w:pPr>
      <w:tabs>
        <w:tab w:val="left" w:pos="360"/>
      </w:tabs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character" w:customStyle="1" w:styleId="116">
    <w:name w:val="首示例 Char"/>
    <w:link w:val="115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paragraph" w:customStyle="1" w:styleId="117">
    <w:name w:val="四级无"/>
    <w:basedOn w:val="54"/>
    <w:uiPriority w:val="0"/>
    <w:pPr>
      <w:spacing w:beforeLines="0" w:afterLines="0"/>
    </w:pPr>
    <w:rPr>
      <w:rFonts w:ascii="宋体" w:eastAsia="宋体"/>
    </w:rPr>
  </w:style>
  <w:style w:type="paragraph" w:customStyle="1" w:styleId="118">
    <w:name w:val="条文脚注"/>
    <w:basedOn w:val="25"/>
    <w:uiPriority w:val="0"/>
    <w:pPr>
      <w:numPr>
        <w:numId w:val="0"/>
      </w:numPr>
      <w:jc w:val="both"/>
    </w:pPr>
  </w:style>
  <w:style w:type="paragraph" w:customStyle="1" w:styleId="119">
    <w:name w:val="图标脚注说明"/>
    <w:basedOn w:val="24"/>
    <w:uiPriority w:val="0"/>
    <w:pPr>
      <w:ind w:left="840" w:hanging="420" w:firstLineChars="0"/>
    </w:pPr>
    <w:rPr>
      <w:sz w:val="18"/>
      <w:szCs w:val="18"/>
    </w:rPr>
  </w:style>
  <w:style w:type="paragraph" w:customStyle="1" w:styleId="120">
    <w:name w:val="图表脚注说明"/>
    <w:basedOn w:val="1"/>
    <w:qFormat/>
    <w:uiPriority w:val="0"/>
    <w:pPr>
      <w:ind w:left="544" w:hanging="181"/>
    </w:pPr>
    <w:rPr>
      <w:rFonts w:ascii="宋体"/>
      <w:sz w:val="18"/>
      <w:szCs w:val="18"/>
    </w:rPr>
  </w:style>
  <w:style w:type="paragraph" w:customStyle="1" w:styleId="121">
    <w:name w:val="图的脚注"/>
    <w:next w:val="24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22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23">
    <w:name w:val="五级无"/>
    <w:basedOn w:val="55"/>
    <w:qFormat/>
    <w:uiPriority w:val="0"/>
    <w:pPr>
      <w:spacing w:beforeLines="0" w:afterLines="0"/>
    </w:pPr>
    <w:rPr>
      <w:rFonts w:ascii="宋体" w:eastAsia="宋体"/>
    </w:rPr>
  </w:style>
  <w:style w:type="paragraph" w:customStyle="1" w:styleId="124">
    <w:name w:val="一级无"/>
    <w:basedOn w:val="41"/>
    <w:uiPriority w:val="0"/>
    <w:pPr>
      <w:spacing w:beforeLines="0" w:afterLines="0"/>
    </w:pPr>
    <w:rPr>
      <w:rFonts w:ascii="宋体" w:eastAsia="宋体"/>
    </w:rPr>
  </w:style>
  <w:style w:type="paragraph" w:customStyle="1" w:styleId="125">
    <w:name w:val="正文表标题"/>
    <w:next w:val="24"/>
    <w:uiPriority w:val="0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6">
    <w:name w:val="正文公式编号制表符"/>
    <w:basedOn w:val="24"/>
    <w:next w:val="24"/>
    <w:qFormat/>
    <w:uiPriority w:val="0"/>
    <w:pPr>
      <w:ind w:firstLine="0" w:firstLineChars="0"/>
    </w:pPr>
  </w:style>
  <w:style w:type="paragraph" w:customStyle="1" w:styleId="127">
    <w:name w:val="正文图标题"/>
    <w:next w:val="24"/>
    <w:qFormat/>
    <w:uiPriority w:val="0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8">
    <w:name w:val="终结线"/>
    <w:basedOn w:val="1"/>
    <w:uiPriority w:val="0"/>
    <w:pPr>
      <w:framePr w:hSpace="181" w:vSpace="181" w:wrap="around" w:vAnchor="text" w:hAnchor="margin" w:xAlign="center" w:y="285"/>
    </w:pPr>
  </w:style>
  <w:style w:type="paragraph" w:customStyle="1" w:styleId="129">
    <w:name w:val="其他发布日期"/>
    <w:basedOn w:val="74"/>
    <w:qFormat/>
    <w:uiPriority w:val="0"/>
    <w:pPr>
      <w:framePr w:vAnchor="page" w:hAnchor="text" w:x="1419"/>
    </w:pPr>
  </w:style>
  <w:style w:type="paragraph" w:customStyle="1" w:styleId="130">
    <w:name w:val="其他实施日期"/>
    <w:basedOn w:val="113"/>
    <w:uiPriority w:val="0"/>
    <w:pPr>
      <w:framePr/>
    </w:pPr>
  </w:style>
  <w:style w:type="paragraph" w:customStyle="1" w:styleId="131">
    <w:name w:val="封面标准名称2"/>
    <w:basedOn w:val="77"/>
    <w:uiPriority w:val="0"/>
    <w:pPr>
      <w:framePr w:y="4469"/>
      <w:spacing w:beforeLines="630"/>
    </w:pPr>
  </w:style>
  <w:style w:type="paragraph" w:customStyle="1" w:styleId="132">
    <w:name w:val="封面标准英文名称2"/>
    <w:basedOn w:val="78"/>
    <w:uiPriority w:val="0"/>
    <w:pPr>
      <w:framePr w:y="4469"/>
    </w:pPr>
  </w:style>
  <w:style w:type="paragraph" w:customStyle="1" w:styleId="133">
    <w:name w:val="封面一致性程度标识2"/>
    <w:basedOn w:val="79"/>
    <w:qFormat/>
    <w:uiPriority w:val="0"/>
    <w:pPr>
      <w:framePr w:y="4469"/>
    </w:pPr>
  </w:style>
  <w:style w:type="paragraph" w:customStyle="1" w:styleId="134">
    <w:name w:val="封面标准文稿类别2"/>
    <w:basedOn w:val="80"/>
    <w:qFormat/>
    <w:uiPriority w:val="0"/>
    <w:pPr>
      <w:framePr w:y="4469"/>
    </w:pPr>
  </w:style>
  <w:style w:type="paragraph" w:customStyle="1" w:styleId="135">
    <w:name w:val="封面标准文稿编辑信息2"/>
    <w:basedOn w:val="81"/>
    <w:uiPriority w:val="0"/>
    <w:pPr>
      <w:framePr w:y="4469"/>
    </w:pPr>
  </w:style>
  <w:style w:type="character" w:customStyle="1" w:styleId="136">
    <w:name w:val="日期 Char"/>
    <w:link w:val="16"/>
    <w:uiPriority w:val="0"/>
    <w:rPr>
      <w:rFonts w:ascii="宋体"/>
      <w:kern w:val="2"/>
      <w:sz w:val="24"/>
    </w:rPr>
  </w:style>
  <w:style w:type="paragraph" w:customStyle="1" w:styleId="137">
    <w:name w:val="列项——"/>
    <w:uiPriority w:val="0"/>
    <w:pPr>
      <w:widowControl w:val="0"/>
      <w:numPr>
        <w:ilvl w:val="0"/>
        <w:numId w:val="10"/>
      </w:numPr>
      <w:tabs>
        <w:tab w:val="left" w:pos="854"/>
        <w:tab w:val="clear" w:pos="11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38">
    <w:name w:val="标题 1 Char"/>
    <w:link w:val="2"/>
    <w:uiPriority w:val="0"/>
    <w:rPr>
      <w:b/>
      <w:bCs/>
      <w:kern w:val="44"/>
      <w:sz w:val="44"/>
      <w:szCs w:val="44"/>
    </w:rPr>
  </w:style>
  <w:style w:type="character" w:customStyle="1" w:styleId="139">
    <w:name w:val="标题 3 Char"/>
    <w:link w:val="3"/>
    <w:qFormat/>
    <w:uiPriority w:val="0"/>
    <w:rPr>
      <w:rFonts w:ascii="宋体" w:hAnsi="宋体"/>
      <w:kern w:val="2"/>
      <w:sz w:val="28"/>
      <w:szCs w:val="24"/>
    </w:rPr>
  </w:style>
  <w:style w:type="character" w:customStyle="1" w:styleId="140">
    <w:name w:val="标题 4 Char"/>
    <w:link w:val="4"/>
    <w:uiPriority w:val="0"/>
    <w:rPr>
      <w:rFonts w:ascii="Cambria" w:hAnsi="Cambria"/>
      <w:b/>
      <w:bCs/>
      <w:kern w:val="2"/>
      <w:sz w:val="28"/>
      <w:szCs w:val="28"/>
    </w:rPr>
  </w:style>
  <w:style w:type="paragraph" w:customStyle="1" w:styleId="141">
    <w:name w:val="List Paragraph"/>
    <w:basedOn w:val="1"/>
    <w:qFormat/>
    <w:uiPriority w:val="0"/>
    <w:pPr>
      <w:ind w:firstLine="420" w:firstLineChars="200"/>
    </w:pPr>
  </w:style>
  <w:style w:type="character" w:customStyle="1" w:styleId="142">
    <w:name w:val="browa1"/>
    <w:uiPriority w:val="0"/>
    <w:rPr>
      <w:color w:val="000000"/>
      <w:sz w:val="21"/>
      <w:szCs w:val="21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microsoft.com/office/2006/relationships/keyMapCustomizations" Target="customizations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39"/>
    <customShpInfo spid="_x0000_s1036"/>
    <customShpInfo spid="_x0000_s1038"/>
    <customShpInfo spid="_x0000_s1037"/>
    <customShpInfo spid="_x0000_s1034"/>
    <customShpInfo spid="_x0000_s103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101A74-7F9A-4458-90A4-FCBEB5E4B5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zle</Company>
  <Pages>6</Pages>
  <Words>455</Words>
  <Characters>2598</Characters>
  <Lines>21</Lines>
  <Paragraphs>6</Paragraphs>
  <TotalTime>0</TotalTime>
  <ScaleCrop>false</ScaleCrop>
  <LinksUpToDate>false</LinksUpToDate>
  <CharactersWithSpaces>3047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2016-09-18T10:49:00Z</dcterms:created>
  <dc:creator>CNIS</dc:creator>
  <cp:lastModifiedBy>BZ</cp:lastModifiedBy>
  <dcterms:modified xsi:type="dcterms:W3CDTF">2017-06-19T07:53:44Z</dcterms:modified>
  <dc:title>标准名称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