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8"/>
        <w:framePr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0"/>
    </w:p>
    <w:p>
      <w:pPr>
        <w:pStyle w:val="118"/>
        <w:framePr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1"/>
    </w:p>
    <w:tbl>
      <w:tblPr>
        <w:tblStyle w:val="34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18"/>
              <w:framePr/>
            </w:pPr>
            <w:r>
              <w:pict>
                <v:rect id="BAH" o:spid="_x0000_s1039" o:spt="1" style="position:absolute;left:0pt;margin-left:-5.25pt;margin-top:0pt;height:15.6pt;width:68.25pt;z-index:-25165619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104"/>
        <w:framePr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eastAsia="zh-CN"/>
        </w:rPr>
        <w:t>4</w:t>
      </w:r>
      <w:r>
        <w:rPr>
          <w:rFonts w:hint="eastAsia"/>
          <w:lang w:val="en-US" w:eastAsia="zh-CN"/>
        </w:rPr>
        <w:t>4</w:t>
      </w:r>
      <w:r>
        <w:fldChar w:fldCharType="end"/>
      </w:r>
      <w:bookmarkEnd w:id="3"/>
    </w:p>
    <w:p>
      <w:pPr>
        <w:pStyle w:val="105"/>
        <w:framePr/>
      </w:pPr>
      <w:bookmarkStart w:id="4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eastAsia="zh-CN"/>
        </w:rPr>
        <w:t>广东省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42"/>
        <w:framePr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  <w:lang w:eastAsia="zh-CN"/>
        </w:rPr>
        <w:t>4</w:t>
      </w:r>
      <w:r>
        <w:rPr>
          <w:rFonts w:hint="eastAsia" w:hAnsi="黑体"/>
          <w:lang w:val="en-US" w:eastAsia="zh-CN"/>
        </w:rPr>
        <w:t>4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Style w:val="34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1"/>
              <w:framePr/>
            </w:pPr>
            <w:bookmarkStart w:id="8" w:name="DT"/>
            <w:r>
              <w:pict>
                <v:rect id="DT" o:spid="_x0000_s1036" o:spt="1" style="position:absolute;left:0pt;margin-left:372.8pt;margin-top:2.7pt;height:18pt;width:90pt;z-index:-25165926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>
      <w:pPr>
        <w:pStyle w:val="42"/>
        <w:framePr/>
        <w:rPr>
          <w:rFonts w:hAnsi="黑体"/>
        </w:rPr>
      </w:pPr>
    </w:p>
    <w:p>
      <w:pPr>
        <w:pStyle w:val="42"/>
        <w:framePr/>
        <w:rPr>
          <w:rFonts w:hAnsi="黑体"/>
        </w:rPr>
      </w:pPr>
    </w:p>
    <w:p>
      <w:pPr>
        <w:pStyle w:val="73"/>
        <w:framePr/>
      </w:pPr>
      <w:bookmarkStart w:id="9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一次性使用无菌末梢采血针</w:t>
      </w:r>
      <w:r>
        <w:fldChar w:fldCharType="end"/>
      </w:r>
      <w:bookmarkEnd w:id="9"/>
    </w:p>
    <w:p>
      <w:pPr>
        <w:pStyle w:val="74"/>
        <w:framePr/>
      </w:pPr>
      <w:bookmarkStart w:id="10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点击此处添加标准英文译名</w:t>
      </w:r>
      <w:r>
        <w:fldChar w:fldCharType="end"/>
      </w:r>
      <w:bookmarkEnd w:id="10"/>
    </w:p>
    <w:p>
      <w:pPr>
        <w:pStyle w:val="75"/>
        <w:framePr/>
      </w:pPr>
      <w:bookmarkStart w:id="11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11"/>
    </w:p>
    <w:tbl>
      <w:tblPr>
        <w:tblStyle w:val="34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6"/>
              <w:framePr/>
            </w:pPr>
            <w:r>
              <w:pict>
                <v:rect id="RQ" o:spid="_x0000_s1038" o:spt="1" style="position:absolute;left:0pt;margin-left:173.3pt;margin-top:45.15pt;height:20pt;width:150pt;z-index:-25165721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pict>
                <v:rect id="LB" o:spid="_x0000_s1037" o:spt="1" style="position:absolute;left:0pt;margin-left:193.3pt;margin-top:20.15pt;height:24pt;width:100pt;z-index:-251658240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7"/>
              <w:framePr/>
            </w:pPr>
            <w:bookmarkStart w:id="13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13"/>
          </w:p>
        </w:tc>
      </w:tr>
    </w:tbl>
    <w:p>
      <w:pPr>
        <w:pStyle w:val="125"/>
        <w:framePr/>
      </w:pPr>
      <w:bookmarkStart w:id="14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w:pict>
          <v:line id="_x0000_s1034" o:spid="_x0000_s1034" o:spt="20" style="position:absolute;left:0pt;margin-left:-0.05pt;margin-top:728.5pt;height:0pt;width:481.9pt;mso-position-vertical-relative:page;z-index:251655168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26"/>
        <w:framePr/>
      </w:pPr>
      <w:bookmarkStart w:id="16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p>
      <w:pPr>
        <w:pStyle w:val="106"/>
        <w:framePr/>
      </w:pPr>
      <w:bookmarkStart w:id="19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eastAsia="zh-CN"/>
        </w:rPr>
        <w:t>广东省质量技术监督局</w:t>
      </w:r>
      <w:r>
        <w:fldChar w:fldCharType="end"/>
      </w:r>
      <w:bookmarkEnd w:id="19"/>
      <w:r>
        <w:rPr>
          <w:rFonts w:hint="eastAsia" w:ascii="MS Mincho" w:hAnsi="MS Mincho" w:eastAsia="MS Mincho" w:cs="MS Mincho"/>
        </w:rPr>
        <w:t>   </w:t>
      </w:r>
      <w:r>
        <w:rPr>
          <w:rStyle w:val="68"/>
          <w:rFonts w:hint="eastAsia"/>
        </w:rPr>
        <w:t>发布</w:t>
      </w:r>
    </w:p>
    <w:p>
      <w:pPr>
        <w:pStyle w:val="20"/>
        <w:sectPr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w:pict>
          <v:line id="_x0000_s1035" o:spid="_x0000_s1035" o:spt="20" style="position:absolute;left:0pt;margin-left:-0.05pt;margin-top:184.25pt;height:0pt;width:481.9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107"/>
        <w:rPr>
          <w:rFonts w:hint="eastAsia"/>
        </w:rPr>
      </w:pPr>
      <w:r>
        <w:rPr>
          <w:rFonts w:hint="eastAsia"/>
        </w:rPr>
        <w:t>前</w:t>
      </w:r>
      <w:bookmarkStart w:id="20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0"/>
    </w:p>
    <w:p>
      <w:pPr>
        <w:pStyle w:val="20"/>
        <w:rPr>
          <w:rFonts w:hint="eastAsia"/>
        </w:rPr>
      </w:pPr>
      <w:r>
        <w:rPr>
          <w:rFonts w:hint="eastAsia"/>
        </w:rPr>
        <w:t>本标准按照GB/T1.1-2009给出的规则起草。</w:t>
      </w:r>
    </w:p>
    <w:p>
      <w:pPr>
        <w:pStyle w:val="20"/>
        <w:rPr>
          <w:rFonts w:hint="eastAsia"/>
        </w:rPr>
      </w:pPr>
      <w:r>
        <w:rPr>
          <w:rFonts w:hint="eastAsia"/>
        </w:rPr>
        <w:t>请注意本文件的某些内容可能涉及专利，本文件的发布机构不承担识别这些专利的责任。</w:t>
      </w:r>
    </w:p>
    <w:p>
      <w:pPr>
        <w:pStyle w:val="20"/>
        <w:rPr>
          <w:rFonts w:hint="eastAsia"/>
        </w:rPr>
      </w:pPr>
      <w:r>
        <w:rPr>
          <w:rFonts w:hint="eastAsia"/>
        </w:rPr>
        <w:t>本标准由广东省医疗仪器设备及器械标准化技术委员会（GD/TC16）</w:t>
      </w:r>
      <w:r>
        <w:rPr>
          <w:rFonts w:hint="eastAsia"/>
          <w:lang w:eastAsia="zh-CN"/>
        </w:rPr>
        <w:t>提出并</w:t>
      </w:r>
      <w:r>
        <w:rPr>
          <w:rFonts w:hint="eastAsia"/>
        </w:rPr>
        <w:t>归口。</w:t>
      </w:r>
    </w:p>
    <w:p>
      <w:pPr>
        <w:pStyle w:val="20"/>
        <w:rPr>
          <w:rFonts w:hint="eastAsia"/>
        </w:rPr>
      </w:pPr>
      <w:r>
        <w:rPr>
          <w:rFonts w:hint="eastAsia"/>
        </w:rPr>
        <w:t>本标准起草单位：广东省医疗器械质量监督检验所。</w:t>
      </w:r>
    </w:p>
    <w:p>
      <w:pPr>
        <w:pStyle w:val="20"/>
        <w:rPr>
          <w:rFonts w:hint="eastAsia"/>
        </w:rPr>
      </w:pPr>
      <w:r>
        <w:rPr>
          <w:rFonts w:hint="eastAsia"/>
        </w:rPr>
        <w:t xml:space="preserve">本标准主要起草人： </w:t>
      </w:r>
    </w:p>
    <w:p>
      <w:pPr>
        <w:pStyle w:val="20"/>
        <w:rPr>
          <w:rFonts w:hint="eastAsia"/>
        </w:rPr>
      </w:pPr>
      <w:r>
        <w:rPr>
          <w:rFonts w:hint="eastAsia"/>
        </w:rPr>
        <w:t>本标准于XXXX年首次发布。</w:t>
      </w:r>
      <w:bookmarkStart w:id="23" w:name="_GoBack"/>
      <w:bookmarkEnd w:id="23"/>
    </w:p>
    <w:p>
      <w:pPr>
        <w:pStyle w:val="107"/>
        <w:rPr>
          <w:rFonts w:hint="eastAsia"/>
        </w:rPr>
      </w:pPr>
      <w:r>
        <w:rPr>
          <w:rFonts w:hint="eastAsia"/>
        </w:rPr>
        <w:t>引</w:t>
      </w:r>
      <w:bookmarkStart w:id="21" w:name="BKY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1"/>
    </w:p>
    <w:p>
      <w:pPr>
        <w:pStyle w:val="20"/>
        <w:rPr>
          <w:rFonts w:hint="eastAsia"/>
        </w:rPr>
      </w:pPr>
      <w:r>
        <w:rPr>
          <w:rFonts w:hint="eastAsia"/>
        </w:rPr>
        <w:t>一次性使用无菌末梢采血针作为末梢采血必用医疗器械，特点为操作简单，方便快捷，避免重复感染，造成疼痛感少、创伤小，对人体功能影响小，创口愈合快。市场潜力大，凡用血量小于0.1mL的血化验检查，例如血常规、血型、血小板计数、血红蛋白测定、疟原虫检查等单项血液检测，都可以末梢采血。同时末梢采血是静脉采血的补充，在静脉采血不方便或某种特殊原因时，例如患者年龄太小、患者大面积烧伤、患者严重皮肤病时，可采集患者末梢部位的血液替代静脉血，以便进行相关检查。一次性使用，无二次污染，有效防止感染，如艾滋病毒、肝炎病毒等。能预先设定刺入深度，保证采血量，一次到位，有效避免采血深度难以掌握，如穿刺较浅，轻则挤压以致混入组织液，重则重新采集，造成受试者不必要的痛苦和操作者重复的劳动。使得痛感小、创口小、愈合快，有利于保证出血量。</w:t>
      </w:r>
    </w:p>
    <w:p>
      <w:pPr>
        <w:pStyle w:val="20"/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pStyle w:val="45"/>
        <w:rPr>
          <w:rFonts w:hint="eastAsia"/>
        </w:rPr>
      </w:pPr>
      <w:r>
        <w:rPr>
          <w:rFonts w:hint="eastAsia"/>
        </w:rPr>
        <w:t>一</w:t>
      </w:r>
      <w:bookmarkStart w:id="22" w:name="StandardName"/>
      <w:r>
        <w:rPr>
          <w:rFonts w:hint="eastAsia"/>
        </w:rPr>
        <w:t>次性使用无菌末梢采血针</w:t>
      </w:r>
      <w:bookmarkEnd w:id="22"/>
    </w:p>
    <w:p>
      <w:pPr>
        <w:pStyle w:val="40"/>
        <w:rPr>
          <w:rFonts w:hint="eastAsia"/>
        </w:rPr>
      </w:pPr>
      <w:r>
        <w:rPr>
          <w:rFonts w:hint="eastAsia"/>
        </w:rPr>
        <w:t>范围</w:t>
      </w:r>
    </w:p>
    <w:p>
      <w:pPr>
        <w:pStyle w:val="20"/>
        <w:rPr>
          <w:rFonts w:hint="eastAsia"/>
        </w:rPr>
      </w:pPr>
      <w:r>
        <w:rPr>
          <w:rFonts w:hint="eastAsia"/>
        </w:rPr>
        <w:t>本标准条款适用于一次性使用无菌末梢采血针。</w:t>
      </w:r>
    </w:p>
    <w:p>
      <w:pPr>
        <w:pStyle w:val="20"/>
        <w:rPr>
          <w:rFonts w:hint="eastAsia"/>
        </w:rPr>
      </w:pPr>
      <w:r>
        <w:rPr>
          <w:rFonts w:hint="eastAsia"/>
        </w:rPr>
        <w:t>本标准规定了一次性使用无菌末梢采血针的通用技术要求。</w:t>
      </w:r>
    </w:p>
    <w:p>
      <w:pPr>
        <w:pStyle w:val="20"/>
        <w:rPr>
          <w:rFonts w:hint="eastAsia"/>
        </w:rPr>
      </w:pPr>
      <w:r>
        <w:rPr>
          <w:rFonts w:hint="eastAsia"/>
        </w:rPr>
        <w:t>本标准不包括一次性使用无菌末梢采血针形状、结构等的要求。</w:t>
      </w:r>
    </w:p>
    <w:p>
      <w:pPr>
        <w:pStyle w:val="40"/>
        <w:rPr>
          <w:rFonts w:hint="eastAsia"/>
        </w:rPr>
      </w:pPr>
      <w:r>
        <w:rPr>
          <w:rFonts w:hint="eastAsia"/>
        </w:rPr>
        <w:t>规范性引用文件</w:t>
      </w:r>
    </w:p>
    <w:p>
      <w:pPr>
        <w:pStyle w:val="20"/>
        <w:rPr>
          <w:rFonts w:hint="eastAsia"/>
        </w:rPr>
      </w:pPr>
      <w:r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>
      <w:pPr>
        <w:pStyle w:val="20"/>
        <w:rPr>
          <w:rFonts w:hint="eastAsia"/>
        </w:rPr>
      </w:pPr>
      <w:r>
        <w:rPr>
          <w:rFonts w:hint="eastAsia"/>
        </w:rPr>
        <w:t>GB/T4340.1-2009   金属材料 维氏硬度试验 第1部分：试验方法</w:t>
      </w:r>
    </w:p>
    <w:p>
      <w:pPr>
        <w:pStyle w:val="20"/>
        <w:rPr>
          <w:rFonts w:hint="eastAsia"/>
        </w:rPr>
      </w:pPr>
      <w:r>
        <w:rPr>
          <w:rFonts w:hint="eastAsia"/>
        </w:rPr>
        <w:t>YY/T0149-2006   不锈钢医用器械 耐腐蚀性能试验方法</w:t>
      </w:r>
    </w:p>
    <w:p>
      <w:pPr>
        <w:pStyle w:val="20"/>
        <w:rPr>
          <w:rFonts w:hint="eastAsia"/>
        </w:rPr>
      </w:pPr>
      <w:r>
        <w:rPr>
          <w:rFonts w:hint="eastAsia"/>
        </w:rPr>
        <w:t>GB15811-2001   一次性使用无菌注射针</w:t>
      </w:r>
    </w:p>
    <w:p>
      <w:pPr>
        <w:pStyle w:val="20"/>
        <w:rPr>
          <w:rFonts w:hint="eastAsia"/>
        </w:rPr>
      </w:pPr>
      <w:r>
        <w:rPr>
          <w:rFonts w:hint="eastAsia"/>
        </w:rPr>
        <w:t>GB/T14233.1-2008   医用输液、输血、注射器具检验方法 第1部分：化学分析方法</w:t>
      </w:r>
    </w:p>
    <w:p>
      <w:pPr>
        <w:pStyle w:val="20"/>
        <w:rPr>
          <w:rFonts w:hint="eastAsia"/>
        </w:rPr>
      </w:pPr>
      <w:r>
        <w:rPr>
          <w:rFonts w:hint="eastAsia"/>
        </w:rPr>
        <w:t>GB/T14233.2-2005   医用输液、输血、注射器具检验方法 第2部分：生物学试验方法</w:t>
      </w:r>
    </w:p>
    <w:p>
      <w:pPr>
        <w:pStyle w:val="40"/>
        <w:rPr>
          <w:rFonts w:hint="eastAsia"/>
        </w:rPr>
      </w:pPr>
      <w:r>
        <w:rPr>
          <w:rFonts w:hint="eastAsia"/>
        </w:rPr>
        <w:t>技术要求</w:t>
      </w:r>
    </w:p>
    <w:p>
      <w:pPr>
        <w:pStyle w:val="37"/>
        <w:rPr>
          <w:rFonts w:hint="eastAsia"/>
        </w:rPr>
      </w:pPr>
      <w:r>
        <w:rPr>
          <w:rFonts w:hint="eastAsia"/>
        </w:rPr>
        <w:t>外观</w:t>
      </w:r>
    </w:p>
    <w:p>
      <w:pPr>
        <w:pStyle w:val="20"/>
        <w:rPr>
          <w:rFonts w:hint="eastAsia"/>
        </w:rPr>
      </w:pPr>
      <w:r>
        <w:rPr>
          <w:rFonts w:hint="eastAsia"/>
        </w:rPr>
        <w:t>点刺针表面应光洁、色泽均匀。针槽应光滑居中，不应有毛刺或明显歪斜现象。针尖应锋利、无毛边、毛刺和弯钩。</w:t>
      </w:r>
    </w:p>
    <w:p>
      <w:pPr>
        <w:pStyle w:val="37"/>
        <w:rPr>
          <w:rFonts w:hint="eastAsia"/>
        </w:rPr>
      </w:pPr>
      <w:r>
        <w:rPr>
          <w:rFonts w:hint="eastAsia"/>
        </w:rPr>
        <w:t>尺寸</w:t>
      </w:r>
    </w:p>
    <w:p>
      <w:pPr>
        <w:pStyle w:val="20"/>
        <w:rPr>
          <w:rFonts w:hint="eastAsia"/>
        </w:rPr>
      </w:pPr>
      <w:r>
        <w:rPr>
          <w:rFonts w:hint="eastAsia"/>
        </w:rPr>
        <w:t>应符合制造商的规定。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表面粗糙度</w:t>
      </w:r>
    </w:p>
    <w:p>
      <w:pPr>
        <w:pStyle w:val="20"/>
        <w:rPr>
          <w:rFonts w:hint="eastAsia"/>
        </w:rPr>
      </w:pPr>
      <w:r>
        <w:rPr>
          <w:rFonts w:hint="eastAsia"/>
        </w:rPr>
        <w:t>针尖表面粗糙度Ra应≤0.4μm。</w:t>
      </w:r>
    </w:p>
    <w:p>
      <w:pPr>
        <w:pStyle w:val="37"/>
        <w:rPr>
          <w:rFonts w:hint="eastAsia"/>
        </w:rPr>
      </w:pPr>
      <w:r>
        <w:rPr>
          <w:rFonts w:hint="eastAsia"/>
        </w:rPr>
        <w:t>硬度</w:t>
      </w:r>
    </w:p>
    <w:p>
      <w:pPr>
        <w:pStyle w:val="20"/>
        <w:rPr>
          <w:rFonts w:hint="eastAsia"/>
        </w:rPr>
      </w:pPr>
      <w:r>
        <w:rPr>
          <w:rFonts w:hint="eastAsia"/>
        </w:rPr>
        <w:t>硬度应不低于240HV0.3。</w:t>
      </w:r>
    </w:p>
    <w:p>
      <w:pPr>
        <w:pStyle w:val="37"/>
        <w:rPr>
          <w:rFonts w:hint="eastAsia"/>
        </w:rPr>
      </w:pPr>
      <w:r>
        <w:rPr>
          <w:rFonts w:hint="eastAsia"/>
        </w:rPr>
        <w:t>耐腐蚀</w:t>
      </w:r>
    </w:p>
    <w:p>
      <w:pPr>
        <w:pStyle w:val="20"/>
        <w:rPr>
          <w:rFonts w:hint="eastAsia"/>
        </w:rPr>
      </w:pPr>
      <w:r>
        <w:rPr>
          <w:rFonts w:hint="eastAsia"/>
        </w:rPr>
        <w:t>应具有良好的耐腐蚀性能。</w:t>
      </w:r>
    </w:p>
    <w:p>
      <w:pPr>
        <w:pStyle w:val="37"/>
        <w:rPr>
          <w:rFonts w:hint="eastAsia"/>
        </w:rPr>
      </w:pPr>
      <w:r>
        <w:rPr>
          <w:rFonts w:hint="eastAsia"/>
        </w:rPr>
        <w:t>穿刺力</w:t>
      </w:r>
    </w:p>
    <w:p>
      <w:pPr>
        <w:pStyle w:val="20"/>
        <w:rPr>
          <w:rFonts w:hint="eastAsia"/>
        </w:rPr>
      </w:pPr>
      <w:r>
        <w:rPr>
          <w:rFonts w:hint="eastAsia"/>
        </w:rPr>
        <w:t>针尖应锋利，其穿刺力应不大于1.5N。</w:t>
      </w:r>
    </w:p>
    <w:p>
      <w:pPr>
        <w:pStyle w:val="37"/>
        <w:rPr>
          <w:rFonts w:hint="eastAsia"/>
        </w:rPr>
      </w:pPr>
      <w:r>
        <w:rPr>
          <w:rFonts w:hint="eastAsia"/>
        </w:rPr>
        <w:t>化学性能</w:t>
      </w:r>
    </w:p>
    <w:p>
      <w:pPr>
        <w:pStyle w:val="41"/>
        <w:spacing w:before="156" w:after="156"/>
        <w:rPr>
          <w:rFonts w:hint="eastAsia"/>
        </w:rPr>
      </w:pPr>
      <w:r>
        <w:rPr>
          <w:rFonts w:hint="eastAsia"/>
        </w:rPr>
        <w:t>酸碱度</w:t>
      </w:r>
    </w:p>
    <w:p>
      <w:pPr>
        <w:pStyle w:val="20"/>
        <w:rPr>
          <w:rFonts w:hint="eastAsia"/>
        </w:rPr>
      </w:pPr>
      <w:r>
        <w:rPr>
          <w:rFonts w:hint="eastAsia"/>
        </w:rPr>
        <w:t>采血针浸取液的pH值与同批空白对照液对照，pH值之差应不超过1.0。</w:t>
      </w:r>
    </w:p>
    <w:p>
      <w:pPr>
        <w:pStyle w:val="41"/>
        <w:spacing w:before="156" w:after="156"/>
        <w:rPr>
          <w:rFonts w:hint="eastAsia"/>
        </w:rPr>
      </w:pPr>
      <w:r>
        <w:rPr>
          <w:rFonts w:hint="eastAsia"/>
        </w:rPr>
        <w:t>重金属</w:t>
      </w:r>
    </w:p>
    <w:p>
      <w:pPr>
        <w:pStyle w:val="20"/>
        <w:rPr>
          <w:rFonts w:hint="eastAsia"/>
        </w:rPr>
      </w:pPr>
      <w:r>
        <w:rPr>
          <w:rFonts w:hint="eastAsia"/>
        </w:rPr>
        <w:t>检验液中钡、铬、铜、铅、锡的总含量应不大于5μg/mL，镉的含量应不超过0.1μg/mL。</w:t>
      </w:r>
    </w:p>
    <w:p>
      <w:pPr>
        <w:pStyle w:val="37"/>
        <w:rPr>
          <w:rFonts w:hint="eastAsia"/>
        </w:rPr>
      </w:pPr>
      <w:r>
        <w:rPr>
          <w:rFonts w:hint="eastAsia"/>
        </w:rPr>
        <w:t>无菌</w:t>
      </w:r>
    </w:p>
    <w:p>
      <w:pPr>
        <w:pStyle w:val="20"/>
        <w:rPr>
          <w:rFonts w:hint="eastAsia"/>
        </w:rPr>
      </w:pPr>
      <w:r>
        <w:rPr>
          <w:rFonts w:hint="eastAsia"/>
        </w:rPr>
        <w:t>应无菌。</w:t>
      </w:r>
    </w:p>
    <w:p>
      <w:pPr>
        <w:pStyle w:val="37"/>
        <w:rPr>
          <w:rFonts w:hint="eastAsia"/>
        </w:rPr>
      </w:pPr>
      <w:r>
        <w:rPr>
          <w:rFonts w:hint="eastAsia"/>
        </w:rPr>
        <w:t>细菌内毒素</w:t>
      </w:r>
    </w:p>
    <w:p>
      <w:pPr>
        <w:pStyle w:val="20"/>
        <w:rPr>
          <w:rFonts w:hint="eastAsia"/>
        </w:rPr>
      </w:pPr>
      <w:r>
        <w:rPr>
          <w:rFonts w:hint="eastAsia"/>
        </w:rPr>
        <w:t>细菌内毒素应小于20EU/套。</w:t>
      </w:r>
    </w:p>
    <w:p>
      <w:pPr>
        <w:pStyle w:val="37"/>
        <w:rPr>
          <w:rFonts w:hint="eastAsia"/>
        </w:rPr>
      </w:pPr>
      <w:r>
        <w:rPr>
          <w:rFonts w:hint="eastAsia"/>
        </w:rPr>
        <w:t>环氧乙烷残留量</w:t>
      </w:r>
    </w:p>
    <w:p>
      <w:pPr>
        <w:pStyle w:val="20"/>
        <w:rPr>
          <w:rFonts w:hint="eastAsia"/>
        </w:rPr>
      </w:pPr>
      <w:r>
        <w:rPr>
          <w:rFonts w:hint="eastAsia"/>
        </w:rPr>
        <w:t>若采用环氧乙烷灭菌，其环氧乙烷残留量应不大于10μg/g。</w:t>
      </w:r>
    </w:p>
    <w:p>
      <w:pPr>
        <w:pStyle w:val="40"/>
        <w:rPr>
          <w:rFonts w:hint="eastAsia"/>
        </w:rPr>
      </w:pPr>
      <w:r>
        <w:rPr>
          <w:rFonts w:hint="eastAsia"/>
        </w:rPr>
        <w:t>试验方法</w:t>
      </w:r>
    </w:p>
    <w:p>
      <w:pPr>
        <w:pStyle w:val="37"/>
        <w:rPr>
          <w:rFonts w:hint="eastAsia"/>
        </w:rPr>
      </w:pPr>
      <w:r>
        <w:rPr>
          <w:rFonts w:hint="eastAsia"/>
        </w:rPr>
        <w:t>外观</w:t>
      </w:r>
    </w:p>
    <w:p>
      <w:pPr>
        <w:pStyle w:val="20"/>
        <w:rPr>
          <w:rFonts w:hint="eastAsia"/>
        </w:rPr>
      </w:pPr>
      <w:r>
        <w:rPr>
          <w:rFonts w:hint="eastAsia"/>
        </w:rPr>
        <w:t>以正常视力或矫正视力观察，应符合3.1的规定。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尺寸</w:t>
      </w:r>
    </w:p>
    <w:p>
      <w:pPr>
        <w:pStyle w:val="20"/>
        <w:rPr>
          <w:rFonts w:hint="eastAsia"/>
        </w:rPr>
      </w:pPr>
      <w:r>
        <w:rPr>
          <w:rFonts w:hint="eastAsia"/>
        </w:rPr>
        <w:t>通用量具测量，应符合3.2的规定。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表面粗糙度</w:t>
      </w:r>
    </w:p>
    <w:p>
      <w:pPr>
        <w:pStyle w:val="20"/>
        <w:rPr>
          <w:rFonts w:hint="eastAsia"/>
        </w:rPr>
      </w:pPr>
      <w:r>
        <w:rPr>
          <w:rFonts w:hint="eastAsia"/>
        </w:rPr>
        <w:t>用表面粗糙度计较样块或表面粗糙度测试仪进行试验，应符合3.3的规定。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硬度</w:t>
      </w:r>
    </w:p>
    <w:p>
      <w:pPr>
        <w:pStyle w:val="20"/>
        <w:rPr>
          <w:rFonts w:hint="eastAsia"/>
        </w:rPr>
      </w:pPr>
      <w:r>
        <w:rPr>
          <w:rFonts w:hint="eastAsia"/>
        </w:rPr>
        <w:t>按GB/T4340.1-2009中规定的方法进行试验，测三点，取其算术平均值，应符合3.4的规定。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耐腐蚀</w:t>
      </w:r>
    </w:p>
    <w:p>
      <w:pPr>
        <w:pStyle w:val="20"/>
        <w:rPr>
          <w:rFonts w:hint="eastAsia"/>
        </w:rPr>
      </w:pPr>
      <w:r>
        <w:rPr>
          <w:rFonts w:hint="eastAsia"/>
        </w:rPr>
        <w:t>按YY/T0149-2006中沸水试验法进行试验，应能达到a级。</w:t>
      </w:r>
    </w:p>
    <w:p>
      <w:pPr>
        <w:pStyle w:val="37"/>
        <w:rPr>
          <w:rFonts w:hint="eastAsia"/>
        </w:rPr>
      </w:pPr>
      <w:r>
        <w:rPr>
          <w:rFonts w:hint="eastAsia"/>
        </w:rPr>
        <w:t>穿刺力</w:t>
      </w:r>
    </w:p>
    <w:p>
      <w:pPr>
        <w:pStyle w:val="20"/>
        <w:rPr>
          <w:rFonts w:hint="eastAsia"/>
        </w:rPr>
      </w:pPr>
      <w:r>
        <w:rPr>
          <w:rFonts w:hint="eastAsia"/>
        </w:rPr>
        <w:t>按GB15811-2001中的附录A进行试验，应符合3.6的规定。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化学性能</w:t>
      </w:r>
    </w:p>
    <w:p>
      <w:pPr>
        <w:pStyle w:val="41"/>
        <w:spacing w:before="156" w:after="156"/>
        <w:rPr>
          <w:rFonts w:hint="eastAsia"/>
        </w:rPr>
      </w:pPr>
      <w:r>
        <w:rPr>
          <w:rFonts w:hint="eastAsia"/>
        </w:rPr>
        <w:t>化学制样</w:t>
      </w:r>
    </w:p>
    <w:p>
      <w:pPr>
        <w:pStyle w:val="20"/>
        <w:rPr>
          <w:rFonts w:hint="eastAsia"/>
        </w:rPr>
      </w:pPr>
      <w:r>
        <w:rPr>
          <w:rFonts w:hint="eastAsia"/>
        </w:rPr>
        <w:t>按样品0.1g加1mL水的比例，在37℃±1℃恒温1h，将样品与液体分离，冷至室温，作为检验液。</w:t>
      </w:r>
    </w:p>
    <w:p>
      <w:pPr>
        <w:pStyle w:val="20"/>
        <w:rPr>
          <w:rFonts w:hint="eastAsia"/>
        </w:rPr>
      </w:pPr>
      <w:r>
        <w:rPr>
          <w:rFonts w:hint="eastAsia"/>
        </w:rPr>
        <w:t>取同体积水置于玻璃容器中，同法制备空白对照液。</w:t>
      </w:r>
    </w:p>
    <w:p>
      <w:pPr>
        <w:pStyle w:val="41"/>
        <w:spacing w:before="156" w:after="156"/>
        <w:rPr>
          <w:rFonts w:hint="eastAsia"/>
        </w:rPr>
      </w:pPr>
      <w:r>
        <w:rPr>
          <w:rFonts w:hint="eastAsia"/>
        </w:rPr>
        <w:t>酸碱度</w:t>
      </w:r>
    </w:p>
    <w:p>
      <w:pPr>
        <w:pStyle w:val="20"/>
        <w:rPr>
          <w:rFonts w:hint="eastAsia"/>
        </w:rPr>
      </w:pPr>
      <w:r>
        <w:rPr>
          <w:rFonts w:hint="eastAsia"/>
        </w:rPr>
        <w:t>按GB/T14233.1-2008中5.4.1的方法进行试验，应符合3.7.1的规定。</w:t>
      </w:r>
    </w:p>
    <w:p>
      <w:pPr>
        <w:pStyle w:val="41"/>
        <w:spacing w:before="156" w:after="156"/>
        <w:rPr>
          <w:rFonts w:hint="eastAsia"/>
        </w:rPr>
      </w:pPr>
      <w:r>
        <w:rPr>
          <w:rFonts w:hint="eastAsia"/>
        </w:rPr>
        <w:t>重金属</w:t>
      </w:r>
    </w:p>
    <w:p>
      <w:pPr>
        <w:pStyle w:val="20"/>
        <w:rPr>
          <w:rFonts w:hint="eastAsia"/>
        </w:rPr>
      </w:pPr>
      <w:r>
        <w:rPr>
          <w:rFonts w:hint="eastAsia"/>
        </w:rPr>
        <w:t>按GB/T14233.1-2008中5.9的方法进行试验，应符合3.7.1的规定</w:t>
      </w:r>
    </w:p>
    <w:p>
      <w:pPr>
        <w:pStyle w:val="37"/>
        <w:rPr>
          <w:rFonts w:hint="eastAsia"/>
        </w:rPr>
      </w:pPr>
      <w:r>
        <w:rPr>
          <w:rFonts w:hint="eastAsia"/>
        </w:rPr>
        <w:t>无菌</w:t>
      </w:r>
    </w:p>
    <w:p>
      <w:pPr>
        <w:pStyle w:val="20"/>
        <w:rPr>
          <w:rFonts w:hint="eastAsia"/>
        </w:rPr>
      </w:pPr>
      <w:r>
        <w:rPr>
          <w:rFonts w:hint="eastAsia"/>
        </w:rPr>
        <w:t>按《中华人民共和国药典2015版  四部》中规定的无菌方法进行试验，其结果应符合3.8的规定。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细菌内毒素</w:t>
      </w:r>
    </w:p>
    <w:p>
      <w:pPr>
        <w:pStyle w:val="20"/>
        <w:rPr>
          <w:rFonts w:hint="eastAsia"/>
        </w:rPr>
      </w:pPr>
      <w:r>
        <w:rPr>
          <w:rFonts w:hint="eastAsia"/>
        </w:rPr>
        <w:t>按样品0.1g加1mL检查用水的比例，在37℃±1℃恒温1h，按按照GB/T 14233.2中“细菌内毒素试验”规定的方法进行，应符合3.9的规定。</w:t>
      </w:r>
    </w:p>
    <w:p>
      <w:pPr>
        <w:pStyle w:val="37"/>
        <w:rPr>
          <w:rFonts w:hint="eastAsia"/>
        </w:rPr>
      </w:pPr>
      <w:r>
        <w:rPr>
          <w:rFonts w:hint="eastAsia"/>
        </w:rPr>
        <w:t>环氧乙烷残留量</w:t>
      </w:r>
    </w:p>
    <w:p>
      <w:pPr>
        <w:pStyle w:val="20"/>
        <w:rPr>
          <w:rFonts w:hint="eastAsia"/>
        </w:rPr>
      </w:pPr>
      <w:r>
        <w:rPr>
          <w:rFonts w:hint="eastAsia"/>
        </w:rPr>
        <w:t>按GB/T16886.7-2001中“气相色谱法”进行环氧乙烷残留量试验，应符合3.9的规定。</w:t>
      </w:r>
    </w:p>
    <w:p>
      <w:pPr>
        <w:pStyle w:val="40"/>
        <w:rPr>
          <w:rFonts w:hint="eastAsia"/>
        </w:rPr>
      </w:pPr>
      <w:r>
        <w:rPr>
          <w:rFonts w:hint="eastAsia"/>
        </w:rPr>
        <w:t>包装标志</w:t>
      </w:r>
    </w:p>
    <w:p>
      <w:pPr>
        <w:pStyle w:val="37"/>
        <w:rPr>
          <w:rFonts w:hint="eastAsia"/>
        </w:rPr>
      </w:pPr>
      <w:r>
        <w:rPr>
          <w:rFonts w:hint="eastAsia"/>
        </w:rPr>
        <w:t>单包装标志</w:t>
      </w:r>
    </w:p>
    <w:p>
      <w:pPr>
        <w:pStyle w:val="20"/>
        <w:rPr>
          <w:rFonts w:hint="eastAsia"/>
        </w:rPr>
      </w:pPr>
      <w:r>
        <w:rPr>
          <w:rFonts w:hint="eastAsia"/>
        </w:rPr>
        <w:t>一次性使用无菌末梢采血针单包装必须有下列标志：</w:t>
      </w:r>
    </w:p>
    <w:p>
      <w:pPr>
        <w:pStyle w:val="54"/>
        <w:rPr>
          <w:rFonts w:hint="eastAsia"/>
        </w:rPr>
      </w:pPr>
      <w:r>
        <w:rPr>
          <w:rFonts w:hint="eastAsia"/>
        </w:rPr>
        <w:t>生产单位名称；</w:t>
      </w:r>
    </w:p>
    <w:p>
      <w:pPr>
        <w:pStyle w:val="54"/>
        <w:rPr>
          <w:rFonts w:hint="eastAsia"/>
        </w:rPr>
      </w:pPr>
      <w:r>
        <w:rPr>
          <w:rFonts w:hint="eastAsia"/>
        </w:rPr>
        <w:t>产品名称；</w:t>
      </w:r>
    </w:p>
    <w:p>
      <w:pPr>
        <w:pStyle w:val="54"/>
        <w:rPr>
          <w:rFonts w:hint="eastAsia"/>
        </w:rPr>
      </w:pPr>
      <w:r>
        <w:rPr>
          <w:rFonts w:hint="eastAsia"/>
        </w:rPr>
        <w:t>型号规格；</w:t>
      </w:r>
    </w:p>
    <w:p>
      <w:pPr>
        <w:pStyle w:val="54"/>
        <w:rPr>
          <w:rFonts w:hint="eastAsia"/>
        </w:rPr>
      </w:pPr>
      <w:r>
        <w:rPr>
          <w:rFonts w:hint="eastAsia"/>
        </w:rPr>
        <w:t>生产批号或生产日期、有效期或有效年限；</w:t>
      </w:r>
    </w:p>
    <w:p>
      <w:pPr>
        <w:pStyle w:val="54"/>
        <w:rPr>
          <w:rFonts w:hint="eastAsia"/>
        </w:rPr>
      </w:pPr>
      <w:r>
        <w:rPr>
          <w:rFonts w:hint="eastAsia"/>
        </w:rPr>
        <w:t>“一次性使用”、“包装破损，严禁使用”或相应标志标识</w:t>
      </w:r>
    </w:p>
    <w:p>
      <w:pPr>
        <w:pStyle w:val="37"/>
        <w:rPr>
          <w:rFonts w:hint="eastAsia"/>
        </w:rPr>
      </w:pPr>
      <w:r>
        <w:rPr>
          <w:rFonts w:hint="eastAsia"/>
        </w:rPr>
        <w:t>外包装标志</w:t>
      </w:r>
    </w:p>
    <w:p>
      <w:pPr>
        <w:pStyle w:val="20"/>
        <w:rPr>
          <w:rFonts w:hint="eastAsia"/>
        </w:rPr>
      </w:pPr>
      <w:r>
        <w:rPr>
          <w:rFonts w:hint="eastAsia"/>
        </w:rPr>
        <w:t>一次性使用无菌末梢采血针外包装应包括以下内容：</w:t>
      </w:r>
    </w:p>
    <w:p>
      <w:pPr>
        <w:pStyle w:val="54"/>
        <w:numPr>
          <w:ilvl w:val="0"/>
          <w:numId w:val="18"/>
        </w:numPr>
        <w:tabs>
          <w:tab w:val="left" w:pos="839"/>
        </w:tabs>
        <w:rPr>
          <w:rFonts w:hint="eastAsia"/>
        </w:rPr>
      </w:pPr>
      <w:r>
        <w:rPr>
          <w:rFonts w:hint="eastAsia"/>
        </w:rPr>
        <w:t>生产单位名称、地址、联系电话；</w:t>
      </w:r>
    </w:p>
    <w:p>
      <w:pPr>
        <w:pStyle w:val="54"/>
        <w:numPr>
          <w:ilvl w:val="0"/>
          <w:numId w:val="18"/>
        </w:numPr>
        <w:tabs>
          <w:tab w:val="left" w:pos="839"/>
        </w:tabs>
        <w:rPr>
          <w:rFonts w:hint="eastAsia"/>
        </w:rPr>
      </w:pPr>
      <w:r>
        <w:rPr>
          <w:rFonts w:hint="eastAsia"/>
        </w:rPr>
        <w:t>产品名称、型号规格；</w:t>
      </w:r>
    </w:p>
    <w:p>
      <w:pPr>
        <w:pStyle w:val="54"/>
        <w:numPr>
          <w:ilvl w:val="0"/>
          <w:numId w:val="18"/>
        </w:numPr>
        <w:tabs>
          <w:tab w:val="left" w:pos="839"/>
        </w:tabs>
        <w:rPr>
          <w:rFonts w:hint="eastAsia"/>
        </w:rPr>
      </w:pPr>
      <w:r>
        <w:rPr>
          <w:rFonts w:hint="eastAsia"/>
        </w:rPr>
        <w:t>生产批号或生产日期、有效期或有效年限；</w:t>
      </w:r>
    </w:p>
    <w:p>
      <w:pPr>
        <w:pStyle w:val="54"/>
        <w:numPr>
          <w:ilvl w:val="0"/>
          <w:numId w:val="18"/>
        </w:numPr>
        <w:tabs>
          <w:tab w:val="left" w:pos="839"/>
        </w:tabs>
        <w:rPr>
          <w:rFonts w:hint="eastAsia"/>
        </w:rPr>
      </w:pPr>
      <w:r>
        <w:rPr>
          <w:rFonts w:hint="eastAsia"/>
        </w:rPr>
        <w:t>数量；</w:t>
      </w:r>
    </w:p>
    <w:p>
      <w:pPr>
        <w:pStyle w:val="54"/>
        <w:numPr>
          <w:ilvl w:val="0"/>
          <w:numId w:val="18"/>
        </w:numPr>
        <w:tabs>
          <w:tab w:val="left" w:pos="839"/>
        </w:tabs>
        <w:rPr>
          <w:rFonts w:hint="eastAsia"/>
        </w:rPr>
      </w:pPr>
      <w:r>
        <w:rPr>
          <w:rFonts w:hint="eastAsia"/>
        </w:rPr>
        <w:t xml:space="preserve">“一次性使用”、“包装破损，严禁使用”或相应标志。   </w:t>
      </w:r>
    </w:p>
    <w:p>
      <w:pPr>
        <w:pStyle w:val="20"/>
        <w:ind w:firstLine="0" w:firstLineChars="0"/>
        <w:rPr>
          <w:rFonts w:hint="eastAsia"/>
        </w:rPr>
      </w:pPr>
      <w:r>
        <w:rPr>
          <w:rFonts w:hint="eastAsia"/>
        </w:rPr>
        <w:t xml:space="preserve">   外包装上字样和标志应包装不因历时较久而模糊不清。   </w:t>
      </w:r>
    </w:p>
    <w:p>
      <w:pPr>
        <w:pStyle w:val="20"/>
        <w:ind w:firstLine="0" w:firstLineChars="0"/>
        <w:rPr>
          <w:rFonts w:hint="eastAsia"/>
        </w:rPr>
      </w:pPr>
    </w:p>
    <w:p>
      <w:pPr>
        <w:pStyle w:val="124"/>
        <w:framePr/>
        <w:rPr>
          <w:rFonts w:hint="eastAsia"/>
        </w:rPr>
      </w:pPr>
      <w: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8"/>
    </w:pP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9"/>
    </w:pPr>
    <w:r>
      <w:t>DBXX/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53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111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47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16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6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4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3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6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0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93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4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43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4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5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1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54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1" w:tentative="0">
      <w:start w:val="1"/>
      <w:numFmt w:val="decimal"/>
      <w:pStyle w:val="49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/>
        <w:b w:val="0"/>
        <w:i w:val="0"/>
        <w:sz w:val="20"/>
      </w:rPr>
    </w:lvl>
    <w:lvl w:ilvl="2" w:tentative="0">
      <w:start w:val="1"/>
      <w:numFmt w:val="decimal"/>
      <w:pStyle w:val="56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57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123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81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121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79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9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9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88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5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00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0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52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1" w:cryptProviderType="rsaFull" w:cryptAlgorithmClass="hash" w:cryptAlgorithmType="typeAny" w:cryptAlgorithmSid="4" w:cryptSpinCount="50000" w:hash="5W4mgs2sg0/0fPrOX4JBfCXjIBQ=" w:salt="kr3EfNltbFhxStK7OA+Ln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5925"/>
    <w:rsid w:val="00000244"/>
    <w:rsid w:val="0000185F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F030C"/>
    <w:rsid w:val="000F129C"/>
    <w:rsid w:val="001056DE"/>
    <w:rsid w:val="001124C0"/>
    <w:rsid w:val="0013175F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E0380"/>
    <w:rsid w:val="001E13B1"/>
    <w:rsid w:val="001F3A19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72D8"/>
    <w:rsid w:val="002D11FA"/>
    <w:rsid w:val="002E0DDF"/>
    <w:rsid w:val="002E2906"/>
    <w:rsid w:val="002E5635"/>
    <w:rsid w:val="002E64C3"/>
    <w:rsid w:val="002E6A2C"/>
    <w:rsid w:val="002F1D8C"/>
    <w:rsid w:val="002F21DA"/>
    <w:rsid w:val="00301F39"/>
    <w:rsid w:val="00325926"/>
    <w:rsid w:val="00327A8A"/>
    <w:rsid w:val="00336610"/>
    <w:rsid w:val="003369D2"/>
    <w:rsid w:val="00343F73"/>
    <w:rsid w:val="00345060"/>
    <w:rsid w:val="0035323B"/>
    <w:rsid w:val="003609D2"/>
    <w:rsid w:val="00363F22"/>
    <w:rsid w:val="00375564"/>
    <w:rsid w:val="00383191"/>
    <w:rsid w:val="00385F14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46B29"/>
    <w:rsid w:val="00453F9A"/>
    <w:rsid w:val="00471E91"/>
    <w:rsid w:val="00474675"/>
    <w:rsid w:val="0047470C"/>
    <w:rsid w:val="004A35F9"/>
    <w:rsid w:val="004B24C1"/>
    <w:rsid w:val="004C292F"/>
    <w:rsid w:val="004C54B4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2717"/>
    <w:rsid w:val="00543786"/>
    <w:rsid w:val="005533D7"/>
    <w:rsid w:val="005573BD"/>
    <w:rsid w:val="005703DE"/>
    <w:rsid w:val="0058464E"/>
    <w:rsid w:val="005A01CB"/>
    <w:rsid w:val="005A4039"/>
    <w:rsid w:val="005A58FF"/>
    <w:rsid w:val="005A5EAF"/>
    <w:rsid w:val="005A64C0"/>
    <w:rsid w:val="005B1260"/>
    <w:rsid w:val="005B3C11"/>
    <w:rsid w:val="005C1C28"/>
    <w:rsid w:val="005C6DB5"/>
    <w:rsid w:val="005E19E7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DF6"/>
    <w:rsid w:val="0070651C"/>
    <w:rsid w:val="007132A3"/>
    <w:rsid w:val="00716421"/>
    <w:rsid w:val="00722F69"/>
    <w:rsid w:val="00724EFB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B1625"/>
    <w:rsid w:val="007B706E"/>
    <w:rsid w:val="007B71EB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71C6"/>
    <w:rsid w:val="00817A00"/>
    <w:rsid w:val="00835DB3"/>
    <w:rsid w:val="0083617B"/>
    <w:rsid w:val="008371BD"/>
    <w:rsid w:val="008504A8"/>
    <w:rsid w:val="0085282E"/>
    <w:rsid w:val="0087198C"/>
    <w:rsid w:val="00872C1F"/>
    <w:rsid w:val="00873B42"/>
    <w:rsid w:val="008856D8"/>
    <w:rsid w:val="00892E82"/>
    <w:rsid w:val="008C1B58"/>
    <w:rsid w:val="008C39AE"/>
    <w:rsid w:val="008C590D"/>
    <w:rsid w:val="008E031B"/>
    <w:rsid w:val="008E7029"/>
    <w:rsid w:val="008E7EF6"/>
    <w:rsid w:val="008F1F98"/>
    <w:rsid w:val="008F6758"/>
    <w:rsid w:val="009040DD"/>
    <w:rsid w:val="00905B47"/>
    <w:rsid w:val="0091331C"/>
    <w:rsid w:val="009279DE"/>
    <w:rsid w:val="00930116"/>
    <w:rsid w:val="0094212C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2D0E"/>
    <w:rsid w:val="009C3DAC"/>
    <w:rsid w:val="009C42E0"/>
    <w:rsid w:val="009D5362"/>
    <w:rsid w:val="009E1415"/>
    <w:rsid w:val="009E6116"/>
    <w:rsid w:val="00A02E43"/>
    <w:rsid w:val="00A065F9"/>
    <w:rsid w:val="00A07F34"/>
    <w:rsid w:val="00A22154"/>
    <w:rsid w:val="00A25C38"/>
    <w:rsid w:val="00A36BBE"/>
    <w:rsid w:val="00A4307A"/>
    <w:rsid w:val="00A47EBB"/>
    <w:rsid w:val="00A51CDD"/>
    <w:rsid w:val="00A6730D"/>
    <w:rsid w:val="00A70F2A"/>
    <w:rsid w:val="00A71625"/>
    <w:rsid w:val="00A71B9B"/>
    <w:rsid w:val="00A751C7"/>
    <w:rsid w:val="00A87844"/>
    <w:rsid w:val="00AA038C"/>
    <w:rsid w:val="00AA7A09"/>
    <w:rsid w:val="00AB3B50"/>
    <w:rsid w:val="00AC05B1"/>
    <w:rsid w:val="00AD356C"/>
    <w:rsid w:val="00AE2914"/>
    <w:rsid w:val="00AE6D15"/>
    <w:rsid w:val="00B04182"/>
    <w:rsid w:val="00B07AE3"/>
    <w:rsid w:val="00B11430"/>
    <w:rsid w:val="00B353EB"/>
    <w:rsid w:val="00B439C4"/>
    <w:rsid w:val="00B4535E"/>
    <w:rsid w:val="00B52A8C"/>
    <w:rsid w:val="00B53B55"/>
    <w:rsid w:val="00B636A8"/>
    <w:rsid w:val="00B665C6"/>
    <w:rsid w:val="00B805AF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E11CF"/>
    <w:rsid w:val="00BE21AB"/>
    <w:rsid w:val="00BE55CB"/>
    <w:rsid w:val="00BF617A"/>
    <w:rsid w:val="00C0379D"/>
    <w:rsid w:val="00C03931"/>
    <w:rsid w:val="00C05FE3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5BCC"/>
    <w:rsid w:val="00C66970"/>
    <w:rsid w:val="00C8691C"/>
    <w:rsid w:val="00CA168A"/>
    <w:rsid w:val="00CA357E"/>
    <w:rsid w:val="00CA44F9"/>
    <w:rsid w:val="00CA4A69"/>
    <w:rsid w:val="00CA4DDE"/>
    <w:rsid w:val="00CC3E0C"/>
    <w:rsid w:val="00CC58D3"/>
    <w:rsid w:val="00CC784D"/>
    <w:rsid w:val="00D0337B"/>
    <w:rsid w:val="00D079B2"/>
    <w:rsid w:val="00D114E9"/>
    <w:rsid w:val="00D429C6"/>
    <w:rsid w:val="00D47748"/>
    <w:rsid w:val="00D54CC3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D3441"/>
    <w:rsid w:val="00DD5A29"/>
    <w:rsid w:val="00DD5D9D"/>
    <w:rsid w:val="00DE35CB"/>
    <w:rsid w:val="00DF21E9"/>
    <w:rsid w:val="00E00F14"/>
    <w:rsid w:val="00E06386"/>
    <w:rsid w:val="00E24EB4"/>
    <w:rsid w:val="00E320ED"/>
    <w:rsid w:val="00E33AFB"/>
    <w:rsid w:val="00E34218"/>
    <w:rsid w:val="00E46282"/>
    <w:rsid w:val="00E5216E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3CC9"/>
    <w:rsid w:val="00EC680A"/>
    <w:rsid w:val="00EE2BED"/>
    <w:rsid w:val="00EE374B"/>
    <w:rsid w:val="00F10B7C"/>
    <w:rsid w:val="00F11BB5"/>
    <w:rsid w:val="00F1417B"/>
    <w:rsid w:val="00F34B99"/>
    <w:rsid w:val="00F52DAB"/>
    <w:rsid w:val="00F543F0"/>
    <w:rsid w:val="00F81D29"/>
    <w:rsid w:val="00F91C4D"/>
    <w:rsid w:val="00F92FD9"/>
    <w:rsid w:val="00FA6017"/>
    <w:rsid w:val="00FA6684"/>
    <w:rsid w:val="00FA731E"/>
    <w:rsid w:val="00FB2B38"/>
    <w:rsid w:val="00FC6358"/>
    <w:rsid w:val="00FD320D"/>
    <w:rsid w:val="00FE23DE"/>
    <w:rsid w:val="55E8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name="toc 1"/>
    <w:lsdException w:qFormat="1" w:unhideWhenUsed="0" w:uiPriority="0" w:name="toc 2"/>
    <w:lsdException w:unhideWhenUsed="0" w:uiPriority="0" w:name="toc 3"/>
    <w:lsdException w:qFormat="1"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qFormat="1"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8">
    <w:name w:val="Default Paragraph Font"/>
    <w:semiHidden/>
    <w:uiPriority w:val="0"/>
  </w:style>
  <w:style w:type="table" w:default="1" w:styleId="3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7"/>
    <w:basedOn w:val="1"/>
    <w:next w:val="1"/>
    <w:semiHidden/>
    <w:uiPriority w:val="0"/>
    <w:pPr>
      <w:tabs>
        <w:tab w:val="right" w:leader="dot" w:pos="9241"/>
      </w:tabs>
      <w:ind w:firstLine="500" w:firstLineChars="500"/>
      <w:jc w:val="left"/>
    </w:pPr>
    <w:rPr>
      <w:rFonts w:ascii="宋体"/>
      <w:szCs w:val="21"/>
    </w:rPr>
  </w:style>
  <w:style w:type="paragraph" w:styleId="3">
    <w:name w:val="index 8"/>
    <w:basedOn w:val="1"/>
    <w:next w:val="1"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4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5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">
    <w:name w:val="Document Map"/>
    <w:basedOn w:val="1"/>
    <w:semiHidden/>
    <w:uiPriority w:val="0"/>
    <w:pPr>
      <w:shd w:val="clear" w:color="auto" w:fill="000080"/>
    </w:pPr>
  </w:style>
  <w:style w:type="paragraph" w:styleId="7">
    <w:name w:val="index 6"/>
    <w:basedOn w:val="1"/>
    <w:next w:val="1"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8">
    <w:name w:val="index 4"/>
    <w:basedOn w:val="1"/>
    <w:next w:val="1"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9">
    <w:name w:val="toc 5"/>
    <w:basedOn w:val="1"/>
    <w:next w:val="1"/>
    <w:semiHidden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0">
    <w:name w:val="toc 3"/>
    <w:basedOn w:val="1"/>
    <w:next w:val="1"/>
    <w:semiHidden/>
    <w:uiPriority w:val="0"/>
    <w:pPr>
      <w:tabs>
        <w:tab w:val="right" w:leader="dot" w:pos="9241"/>
      </w:tabs>
      <w:ind w:firstLine="100" w:firstLineChars="100"/>
      <w:jc w:val="left"/>
    </w:pPr>
    <w:rPr>
      <w:rFonts w:ascii="宋体"/>
      <w:szCs w:val="21"/>
    </w:rPr>
  </w:style>
  <w:style w:type="paragraph" w:styleId="11">
    <w:name w:val="toc 8"/>
    <w:basedOn w:val="1"/>
    <w:next w:val="1"/>
    <w:semiHidden/>
    <w:qFormat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2">
    <w:name w:val="index 3"/>
    <w:basedOn w:val="1"/>
    <w:next w:val="1"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3">
    <w:name w:val="endnote text"/>
    <w:basedOn w:val="1"/>
    <w:semiHidden/>
    <w:qFormat/>
    <w:uiPriority w:val="0"/>
    <w:pPr>
      <w:snapToGrid w:val="0"/>
      <w:jc w:val="left"/>
    </w:pPr>
  </w:style>
  <w:style w:type="paragraph" w:styleId="14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5">
    <w:name w:val="header"/>
    <w:basedOn w:val="1"/>
    <w:uiPriority w:val="0"/>
    <w:pPr>
      <w:snapToGrid w:val="0"/>
      <w:jc w:val="left"/>
    </w:pPr>
    <w:rPr>
      <w:sz w:val="18"/>
      <w:szCs w:val="18"/>
    </w:rPr>
  </w:style>
  <w:style w:type="paragraph" w:styleId="16">
    <w:name w:val="toc 1"/>
    <w:basedOn w:val="1"/>
    <w:next w:val="1"/>
    <w:semiHidden/>
    <w:uiPriority w:val="0"/>
    <w:pPr>
      <w:tabs>
        <w:tab w:val="right" w:leader="dot" w:pos="9242"/>
      </w:tabs>
      <w:spacing w:beforeLines="25" w:afterLines="25"/>
      <w:jc w:val="left"/>
    </w:pPr>
    <w:rPr>
      <w:rFonts w:ascii="宋体"/>
      <w:szCs w:val="21"/>
    </w:rPr>
  </w:style>
  <w:style w:type="paragraph" w:styleId="17">
    <w:name w:val="toc 4"/>
    <w:basedOn w:val="1"/>
    <w:next w:val="1"/>
    <w:semiHidden/>
    <w:qFormat/>
    <w:uiPriority w:val="0"/>
    <w:pPr>
      <w:tabs>
        <w:tab w:val="right" w:leader="dot" w:pos="9241"/>
      </w:tabs>
      <w:ind w:firstLine="200" w:firstLineChars="200"/>
      <w:jc w:val="left"/>
    </w:pPr>
    <w:rPr>
      <w:rFonts w:ascii="宋体"/>
      <w:szCs w:val="21"/>
    </w:rPr>
  </w:style>
  <w:style w:type="paragraph" w:styleId="18">
    <w:name w:val="index heading"/>
    <w:basedOn w:val="1"/>
    <w:next w:val="19"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9">
    <w:name w:val="index 1"/>
    <w:basedOn w:val="1"/>
    <w:next w:val="20"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0">
    <w:name w:val="段"/>
    <w:link w:val="36"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1">
    <w:name w:val="footnote text"/>
    <w:basedOn w:val="1"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semiHidden/>
    <w:uiPriority w:val="0"/>
    <w:pPr>
      <w:tabs>
        <w:tab w:val="right" w:leader="dot" w:pos="9241"/>
      </w:tabs>
      <w:ind w:firstLine="400" w:firstLineChars="400"/>
      <w:jc w:val="left"/>
    </w:pPr>
    <w:rPr>
      <w:rFonts w:ascii="宋体"/>
      <w:szCs w:val="21"/>
    </w:rPr>
  </w:style>
  <w:style w:type="paragraph" w:styleId="23">
    <w:name w:val="index 7"/>
    <w:basedOn w:val="1"/>
    <w:next w:val="1"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4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5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6">
    <w:name w:val="toc 9"/>
    <w:basedOn w:val="1"/>
    <w:next w:val="1"/>
    <w:semiHidden/>
    <w:uiPriority w:val="0"/>
    <w:pPr>
      <w:ind w:left="1470"/>
      <w:jc w:val="left"/>
    </w:pPr>
    <w:rPr>
      <w:sz w:val="20"/>
      <w:szCs w:val="20"/>
    </w:rPr>
  </w:style>
  <w:style w:type="paragraph" w:styleId="27">
    <w:name w:val="index 2"/>
    <w:basedOn w:val="1"/>
    <w:next w:val="1"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29">
    <w:name w:val="endnote reference"/>
    <w:basedOn w:val="28"/>
    <w:semiHidden/>
    <w:uiPriority w:val="0"/>
    <w:rPr>
      <w:vertAlign w:val="superscript"/>
    </w:rPr>
  </w:style>
  <w:style w:type="character" w:styleId="30">
    <w:name w:val="page number"/>
    <w:basedOn w:val="28"/>
    <w:uiPriority w:val="0"/>
    <w:rPr>
      <w:rFonts w:ascii="Times New Roman" w:hAnsi="Times New Roman" w:eastAsia="宋体"/>
      <w:sz w:val="18"/>
    </w:rPr>
  </w:style>
  <w:style w:type="character" w:styleId="31">
    <w:name w:val="FollowedHyperlink"/>
    <w:basedOn w:val="28"/>
    <w:uiPriority w:val="0"/>
    <w:rPr>
      <w:color w:val="800080"/>
      <w:u w:val="single"/>
    </w:rPr>
  </w:style>
  <w:style w:type="character" w:styleId="32">
    <w:name w:val="Hyperlink"/>
    <w:basedOn w:val="28"/>
    <w:uiPriority w:val="0"/>
    <w:rPr>
      <w:color w:val="0000FF"/>
      <w:spacing w:val="0"/>
      <w:w w:val="100"/>
      <w:szCs w:val="21"/>
      <w:u w:val="single"/>
    </w:rPr>
  </w:style>
  <w:style w:type="character" w:styleId="33">
    <w:name w:val="footnote reference"/>
    <w:basedOn w:val="28"/>
    <w:semiHidden/>
    <w:qFormat/>
    <w:uiPriority w:val="0"/>
    <w:rPr>
      <w:vertAlign w:val="superscript"/>
    </w:rPr>
  </w:style>
  <w:style w:type="table" w:styleId="35">
    <w:name w:val="Table Grid"/>
    <w:basedOn w:val="34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6">
    <w:name w:val="段 Char"/>
    <w:basedOn w:val="28"/>
    <w:link w:val="20"/>
    <w:uiPriority w:val="0"/>
    <w:rPr>
      <w:rFonts w:ascii="宋体"/>
      <w:sz w:val="21"/>
      <w:lang w:val="en-US" w:eastAsia="zh-CN" w:bidi="ar-SA"/>
    </w:rPr>
  </w:style>
  <w:style w:type="paragraph" w:customStyle="1" w:styleId="37">
    <w:name w:val="一级条标题"/>
    <w:next w:val="20"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8">
    <w:name w:val="标准书脚_奇数页"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9">
    <w:name w:val="标准书眉_奇数页"/>
    <w:next w:val="1"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0">
    <w:name w:val="章标题"/>
    <w:next w:val="20"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1">
    <w:name w:val="二级条标题"/>
    <w:basedOn w:val="37"/>
    <w:next w:val="20"/>
    <w:uiPriority w:val="0"/>
    <w:pPr>
      <w:numPr>
        <w:ilvl w:val="2"/>
      </w:numPr>
      <w:spacing w:before="50" w:after="50"/>
      <w:outlineLvl w:val="3"/>
    </w:pPr>
  </w:style>
  <w:style w:type="paragraph" w:customStyle="1" w:styleId="42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3">
    <w:name w:val="列项——（一级）"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4">
    <w:name w:val="列项●（二级）"/>
    <w:uiPriority w:val="0"/>
    <w:pPr>
      <w:numPr>
        <w:ilvl w:val="1"/>
        <w:numId w:val="3"/>
      </w:numPr>
      <w:tabs>
        <w:tab w:val="left" w:pos="840"/>
        <w:tab w:val="clear" w:pos="76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5">
    <w:name w:val="目次、标准名称标题"/>
    <w:basedOn w:val="1"/>
    <w:next w:val="20"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46">
    <w:name w:val="三级条标题"/>
    <w:basedOn w:val="41"/>
    <w:next w:val="20"/>
    <w:uiPriority w:val="0"/>
    <w:pPr>
      <w:numPr>
        <w:ilvl w:val="3"/>
      </w:numPr>
      <w:outlineLvl w:val="4"/>
    </w:pPr>
  </w:style>
  <w:style w:type="paragraph" w:customStyle="1" w:styleId="47">
    <w:name w:val="示例"/>
    <w:next w:val="48"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8">
    <w:name w:val="示例内容"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9">
    <w:name w:val="数字编号列项（二级）"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0">
    <w:name w:val="四级条标题"/>
    <w:basedOn w:val="46"/>
    <w:next w:val="20"/>
    <w:uiPriority w:val="0"/>
    <w:pPr>
      <w:numPr>
        <w:ilvl w:val="4"/>
      </w:numPr>
      <w:outlineLvl w:val="5"/>
    </w:pPr>
  </w:style>
  <w:style w:type="paragraph" w:customStyle="1" w:styleId="51">
    <w:name w:val="五级条标题"/>
    <w:basedOn w:val="50"/>
    <w:next w:val="20"/>
    <w:uiPriority w:val="0"/>
    <w:pPr>
      <w:numPr>
        <w:ilvl w:val="5"/>
      </w:numPr>
      <w:outlineLvl w:val="6"/>
    </w:pPr>
  </w:style>
  <w:style w:type="paragraph" w:customStyle="1" w:styleId="52">
    <w:name w:val="注："/>
    <w:next w:val="20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注×："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4">
    <w:name w:val="字母编号列项（一级）"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5">
    <w:name w:val="列项◆（三级）"/>
    <w:basedOn w:val="1"/>
    <w:qFormat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56">
    <w:name w:val="编号列项（三级）"/>
    <w:qFormat/>
    <w:uiPriority w:val="0"/>
    <w:pPr>
      <w:numPr>
        <w:ilvl w:val="2"/>
        <w:numId w:val="5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7">
    <w:name w:val="示例×："/>
    <w:basedOn w:val="40"/>
    <w:qFormat/>
    <w:uiPriority w:val="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58">
    <w:name w:val="二级无"/>
    <w:basedOn w:val="41"/>
    <w:uiPriority w:val="0"/>
    <w:pPr>
      <w:spacing w:beforeLines="0" w:afterLines="0"/>
    </w:pPr>
    <w:rPr>
      <w:rFonts w:ascii="宋体" w:eastAsia="宋体"/>
    </w:rPr>
  </w:style>
  <w:style w:type="paragraph" w:customStyle="1" w:styleId="59">
    <w:name w:val="注：（正文）"/>
    <w:basedOn w:val="52"/>
    <w:next w:val="20"/>
    <w:qFormat/>
    <w:uiPriority w:val="0"/>
  </w:style>
  <w:style w:type="paragraph" w:customStyle="1" w:styleId="60">
    <w:name w:val="注×：（正文）"/>
    <w:uiPriority w:val="0"/>
    <w:pPr>
      <w:numPr>
        <w:ilvl w:val="0"/>
        <w:numId w:val="9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1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2">
    <w:name w:val="标准称谓"/>
    <w:next w:val="1"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3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4">
    <w:name w:val="标准书眉_偶数页"/>
    <w:basedOn w:val="39"/>
    <w:next w:val="1"/>
    <w:qFormat/>
    <w:uiPriority w:val="0"/>
    <w:pPr>
      <w:jc w:val="left"/>
    </w:pPr>
  </w:style>
  <w:style w:type="paragraph" w:customStyle="1" w:styleId="65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66">
    <w:name w:val="参考文献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7">
    <w:name w:val="参考文献、索引标题"/>
    <w:basedOn w:val="1"/>
    <w:next w:val="20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68">
    <w:name w:val="发布"/>
    <w:basedOn w:val="28"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69">
    <w:name w:val="发布部门"/>
    <w:next w:val="20"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0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1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2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3">
    <w:name w:val="封面标准名称"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4">
    <w:name w:val="封面标准英文名称"/>
    <w:basedOn w:val="73"/>
    <w:qFormat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75">
    <w:name w:val="封面一致性程度标识"/>
    <w:basedOn w:val="74"/>
    <w:uiPriority w:val="0"/>
    <w:pPr>
      <w:framePr/>
      <w:spacing w:before="440"/>
    </w:pPr>
    <w:rPr>
      <w:rFonts w:ascii="宋体" w:eastAsia="宋体"/>
    </w:rPr>
  </w:style>
  <w:style w:type="paragraph" w:customStyle="1" w:styleId="76">
    <w:name w:val="封面标准文稿类别"/>
    <w:basedOn w:val="75"/>
    <w:qFormat/>
    <w:uiPriority w:val="0"/>
    <w:pPr>
      <w:framePr/>
      <w:spacing w:after="160" w:line="240" w:lineRule="auto"/>
    </w:pPr>
    <w:rPr>
      <w:sz w:val="24"/>
    </w:rPr>
  </w:style>
  <w:style w:type="paragraph" w:customStyle="1" w:styleId="77">
    <w:name w:val="封面标准文稿编辑信息"/>
    <w:basedOn w:val="76"/>
    <w:qFormat/>
    <w:uiPriority w:val="0"/>
    <w:pPr>
      <w:framePr/>
      <w:spacing w:before="180" w:line="180" w:lineRule="exact"/>
    </w:pPr>
    <w:rPr>
      <w:sz w:val="21"/>
    </w:rPr>
  </w:style>
  <w:style w:type="paragraph" w:customStyle="1" w:styleId="78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9">
    <w:name w:val="附录标识"/>
    <w:basedOn w:val="1"/>
    <w:next w:val="20"/>
    <w:qFormat/>
    <w:uiPriority w:val="0"/>
    <w:pPr>
      <w:keepNext/>
      <w:widowControl/>
      <w:numPr>
        <w:ilvl w:val="0"/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0">
    <w:name w:val="附录标题"/>
    <w:basedOn w:val="20"/>
    <w:next w:val="20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1">
    <w:name w:val="附录表标号"/>
    <w:basedOn w:val="1"/>
    <w:next w:val="20"/>
    <w:qFormat/>
    <w:uiPriority w:val="0"/>
    <w:pPr>
      <w:numPr>
        <w:ilvl w:val="0"/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2">
    <w:name w:val="附录表标题"/>
    <w:basedOn w:val="1"/>
    <w:next w:val="20"/>
    <w:qFormat/>
    <w:uiPriority w:val="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3">
    <w:name w:val="附录二级条标题"/>
    <w:basedOn w:val="1"/>
    <w:next w:val="20"/>
    <w:uiPriority w:val="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4">
    <w:name w:val="附录二级无"/>
    <w:basedOn w:val="83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5">
    <w:name w:val="附录公式"/>
    <w:basedOn w:val="20"/>
    <w:next w:val="20"/>
    <w:link w:val="86"/>
    <w:qFormat/>
    <w:uiPriority w:val="0"/>
  </w:style>
  <w:style w:type="character" w:customStyle="1" w:styleId="86">
    <w:name w:val="附录公式 Char"/>
    <w:basedOn w:val="36"/>
    <w:link w:val="85"/>
    <w:qFormat/>
    <w:uiPriority w:val="0"/>
  </w:style>
  <w:style w:type="paragraph" w:customStyle="1" w:styleId="87">
    <w:name w:val="附录公式编号制表符"/>
    <w:basedOn w:val="1"/>
    <w:next w:val="20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88">
    <w:name w:val="附录三级条标题"/>
    <w:basedOn w:val="83"/>
    <w:next w:val="20"/>
    <w:uiPriority w:val="0"/>
    <w:pPr>
      <w:numPr>
        <w:ilvl w:val="4"/>
      </w:numPr>
      <w:outlineLvl w:val="4"/>
    </w:pPr>
  </w:style>
  <w:style w:type="paragraph" w:customStyle="1" w:styleId="89">
    <w:name w:val="附录三级无"/>
    <w:basedOn w:val="88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0">
    <w:name w:val="附录数字编号列项（二级）"/>
    <w:qFormat/>
    <w:uiPriority w:val="0"/>
    <w:pPr>
      <w:numPr>
        <w:ilvl w:val="1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1">
    <w:name w:val="附录四级条标题"/>
    <w:basedOn w:val="88"/>
    <w:next w:val="20"/>
    <w:uiPriority w:val="0"/>
    <w:pPr>
      <w:numPr>
        <w:ilvl w:val="5"/>
      </w:numPr>
      <w:outlineLvl w:val="5"/>
    </w:pPr>
  </w:style>
  <w:style w:type="paragraph" w:customStyle="1" w:styleId="92">
    <w:name w:val="附录四级无"/>
    <w:basedOn w:val="91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3">
    <w:name w:val="附录图标号"/>
    <w:basedOn w:val="1"/>
    <w:uiPriority w:val="0"/>
    <w:pPr>
      <w:keepNext/>
      <w:pageBreakBefore/>
      <w:widowControl/>
      <w:numPr>
        <w:ilvl w:val="0"/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4">
    <w:name w:val="附录图标题"/>
    <w:basedOn w:val="1"/>
    <w:next w:val="20"/>
    <w:uiPriority w:val="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5">
    <w:name w:val="附录五级条标题"/>
    <w:basedOn w:val="91"/>
    <w:next w:val="20"/>
    <w:uiPriority w:val="0"/>
    <w:pPr>
      <w:numPr>
        <w:ilvl w:val="6"/>
      </w:numPr>
      <w:outlineLvl w:val="6"/>
    </w:pPr>
  </w:style>
  <w:style w:type="paragraph" w:customStyle="1" w:styleId="96">
    <w:name w:val="附录五级无"/>
    <w:basedOn w:val="95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7">
    <w:name w:val="附录章标题"/>
    <w:next w:val="20"/>
    <w:uiPriority w:val="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98">
    <w:name w:val="附录一级条标题"/>
    <w:basedOn w:val="97"/>
    <w:next w:val="20"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99">
    <w:name w:val="附录一级无"/>
    <w:basedOn w:val="98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0">
    <w:name w:val="附录字母编号列项（一级）"/>
    <w:qFormat/>
    <w:uiPriority w:val="0"/>
    <w:pPr>
      <w:numPr>
        <w:ilvl w:val="0"/>
        <w:numId w:val="12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1">
    <w:name w:val="列项说明"/>
    <w:basedOn w:val="1"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2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3">
    <w:name w:val="目次、索引正文"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4">
    <w:name w:val="其他标准标志"/>
    <w:basedOn w:val="61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5">
    <w:name w:val="其他标准称谓"/>
    <w:next w:val="1"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06">
    <w:name w:val="其他发布部门"/>
    <w:basedOn w:val="69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07">
    <w:name w:val="前言、引言标题"/>
    <w:next w:val="20"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8">
    <w:name w:val="三级无"/>
    <w:basedOn w:val="46"/>
    <w:uiPriority w:val="0"/>
    <w:pPr>
      <w:spacing w:beforeLines="0" w:afterLines="0"/>
    </w:pPr>
    <w:rPr>
      <w:rFonts w:ascii="宋体" w:eastAsia="宋体"/>
    </w:rPr>
  </w:style>
  <w:style w:type="paragraph" w:customStyle="1" w:styleId="109">
    <w:name w:val="实施日期"/>
    <w:basedOn w:val="70"/>
    <w:uiPriority w:val="0"/>
    <w:pPr>
      <w:framePr w:vAnchor="page"/>
      <w:jc w:val="right"/>
    </w:pPr>
  </w:style>
  <w:style w:type="paragraph" w:customStyle="1" w:styleId="110">
    <w:name w:val="示例后文字"/>
    <w:basedOn w:val="20"/>
    <w:next w:val="20"/>
    <w:qFormat/>
    <w:uiPriority w:val="0"/>
    <w:pPr>
      <w:ind w:firstLine="360"/>
    </w:pPr>
    <w:rPr>
      <w:sz w:val="18"/>
    </w:rPr>
  </w:style>
  <w:style w:type="paragraph" w:customStyle="1" w:styleId="111">
    <w:name w:val="首示例"/>
    <w:next w:val="20"/>
    <w:link w:val="112"/>
    <w:qFormat/>
    <w:uiPriority w:val="0"/>
    <w:pPr>
      <w:numPr>
        <w:ilvl w:val="0"/>
        <w:numId w:val="14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2">
    <w:name w:val="首示例 Char"/>
    <w:basedOn w:val="28"/>
    <w:link w:val="111"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3">
    <w:name w:val="四级无"/>
    <w:basedOn w:val="50"/>
    <w:uiPriority w:val="0"/>
    <w:pPr>
      <w:spacing w:beforeLines="0" w:afterLines="0"/>
    </w:pPr>
    <w:rPr>
      <w:rFonts w:ascii="宋体" w:eastAsia="宋体"/>
    </w:rPr>
  </w:style>
  <w:style w:type="paragraph" w:customStyle="1" w:styleId="114">
    <w:name w:val="条文脚注"/>
    <w:basedOn w:val="21"/>
    <w:uiPriority w:val="0"/>
    <w:pPr>
      <w:numPr>
        <w:numId w:val="0"/>
      </w:numPr>
      <w:jc w:val="both"/>
    </w:pPr>
  </w:style>
  <w:style w:type="paragraph" w:customStyle="1" w:styleId="115">
    <w:name w:val="图标脚注说明"/>
    <w:basedOn w:val="20"/>
    <w:uiPriority w:val="0"/>
    <w:pPr>
      <w:ind w:left="840" w:hanging="420" w:firstLineChars="0"/>
    </w:pPr>
    <w:rPr>
      <w:sz w:val="18"/>
      <w:szCs w:val="18"/>
    </w:rPr>
  </w:style>
  <w:style w:type="paragraph" w:customStyle="1" w:styleId="116">
    <w:name w:val="图表脚注说明"/>
    <w:basedOn w:val="1"/>
    <w:uiPriority w:val="0"/>
    <w:pPr>
      <w:numPr>
        <w:ilvl w:val="0"/>
        <w:numId w:val="15"/>
      </w:numPr>
    </w:pPr>
    <w:rPr>
      <w:rFonts w:ascii="宋体"/>
      <w:sz w:val="18"/>
      <w:szCs w:val="18"/>
    </w:rPr>
  </w:style>
  <w:style w:type="paragraph" w:customStyle="1" w:styleId="117">
    <w:name w:val="图的脚注"/>
    <w:next w:val="20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1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9">
    <w:name w:val="五级无"/>
    <w:basedOn w:val="51"/>
    <w:uiPriority w:val="0"/>
    <w:pPr>
      <w:spacing w:beforeLines="0" w:afterLines="0"/>
    </w:pPr>
    <w:rPr>
      <w:rFonts w:ascii="宋体" w:eastAsia="宋体"/>
    </w:rPr>
  </w:style>
  <w:style w:type="paragraph" w:customStyle="1" w:styleId="120">
    <w:name w:val="一级无"/>
    <w:basedOn w:val="37"/>
    <w:uiPriority w:val="0"/>
    <w:pPr>
      <w:spacing w:beforeLines="0" w:afterLines="0"/>
    </w:pPr>
    <w:rPr>
      <w:rFonts w:ascii="宋体" w:eastAsia="宋体"/>
    </w:rPr>
  </w:style>
  <w:style w:type="paragraph" w:customStyle="1" w:styleId="121">
    <w:name w:val="正文表标题"/>
    <w:next w:val="20"/>
    <w:uiPriority w:val="0"/>
    <w:pPr>
      <w:numPr>
        <w:ilvl w:val="0"/>
        <w:numId w:val="16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2">
    <w:name w:val="正文公式编号制表符"/>
    <w:basedOn w:val="20"/>
    <w:next w:val="20"/>
    <w:qFormat/>
    <w:uiPriority w:val="0"/>
    <w:pPr>
      <w:ind w:firstLine="0" w:firstLineChars="0"/>
    </w:pPr>
  </w:style>
  <w:style w:type="paragraph" w:customStyle="1" w:styleId="123">
    <w:name w:val="正文图标题"/>
    <w:next w:val="20"/>
    <w:uiPriority w:val="0"/>
    <w:pPr>
      <w:numPr>
        <w:ilvl w:val="0"/>
        <w:numId w:val="17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4">
    <w:name w:val="终结线"/>
    <w:basedOn w:val="1"/>
    <w:uiPriority w:val="0"/>
    <w:pPr>
      <w:framePr w:hSpace="181" w:vSpace="181" w:wrap="around" w:vAnchor="text" w:hAnchor="margin" w:xAlign="center" w:y="285"/>
    </w:pPr>
  </w:style>
  <w:style w:type="paragraph" w:customStyle="1" w:styleId="125">
    <w:name w:val="其他发布日期"/>
    <w:basedOn w:val="70"/>
    <w:uiPriority w:val="0"/>
    <w:pPr>
      <w:framePr w:vAnchor="page" w:x="1419"/>
    </w:pPr>
  </w:style>
  <w:style w:type="paragraph" w:customStyle="1" w:styleId="126">
    <w:name w:val="其他实施日期"/>
    <w:basedOn w:val="109"/>
    <w:uiPriority w:val="0"/>
    <w:pPr>
      <w:framePr/>
    </w:pPr>
  </w:style>
  <w:style w:type="paragraph" w:customStyle="1" w:styleId="127">
    <w:name w:val="封面标准名称2"/>
    <w:basedOn w:val="73"/>
    <w:qFormat/>
    <w:uiPriority w:val="0"/>
    <w:pPr>
      <w:framePr w:y="4469"/>
      <w:spacing w:beforeLines="630"/>
    </w:pPr>
  </w:style>
  <w:style w:type="paragraph" w:customStyle="1" w:styleId="128">
    <w:name w:val="封面标准英文名称2"/>
    <w:basedOn w:val="74"/>
    <w:qFormat/>
    <w:uiPriority w:val="0"/>
    <w:pPr>
      <w:framePr w:y="4469"/>
    </w:pPr>
  </w:style>
  <w:style w:type="paragraph" w:customStyle="1" w:styleId="129">
    <w:name w:val="封面一致性程度标识2"/>
    <w:basedOn w:val="75"/>
    <w:qFormat/>
    <w:uiPriority w:val="0"/>
    <w:pPr>
      <w:framePr w:y="4469"/>
    </w:pPr>
  </w:style>
  <w:style w:type="paragraph" w:customStyle="1" w:styleId="130">
    <w:name w:val="封面标准文稿类别2"/>
    <w:basedOn w:val="76"/>
    <w:uiPriority w:val="0"/>
    <w:pPr>
      <w:framePr w:y="4469"/>
    </w:pPr>
  </w:style>
  <w:style w:type="paragraph" w:customStyle="1" w:styleId="131">
    <w:name w:val="封面标准文稿编辑信息2"/>
    <w:basedOn w:val="77"/>
    <w:uiPriority w:val="0"/>
    <w:pPr>
      <w:framePr w:y="4469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36"/>
    <customShpInfo spid="_x0000_s1038"/>
    <customShpInfo spid="_x0000_s1037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一次性使用无菌末梢采血针草案稿</Template>
  <Company>zle</Company>
  <Pages>1</Pages>
  <Words>385</Words>
  <Characters>2198</Characters>
  <Lines>18</Lines>
  <Paragraphs>5</Paragraphs>
  <TotalTime>0</TotalTime>
  <ScaleCrop>false</ScaleCrop>
  <LinksUpToDate>false</LinksUpToDate>
  <CharactersWithSpaces>2578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2016-09-01T07:23:00Z</dcterms:created>
  <dc:creator>CNIS</dc:creator>
  <cp:lastModifiedBy>BZ</cp:lastModifiedBy>
  <dcterms:modified xsi:type="dcterms:W3CDTF">2017-06-19T07:48:05Z</dcterms:modified>
  <dc:title>标准名称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